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1449E">
      <w:pPr>
        <w:pStyle w:val="11"/>
        <w:spacing w:after="156" w:afterLines="50"/>
        <w:rPr>
          <w:rFonts w:hint="eastAsia"/>
          <w:color w:val="auto"/>
          <w:sz w:val="44"/>
          <w:szCs w:val="44"/>
        </w:rPr>
      </w:pPr>
      <w:r>
        <w:rPr>
          <w:rFonts w:hint="eastAsia"/>
          <w:color w:val="auto"/>
          <w:sz w:val="44"/>
          <w:szCs w:val="44"/>
          <w:lang w:eastAsia="zh-CN"/>
        </w:rPr>
        <w:t>内江国家级高新区产业园区智慧化暨数字化升级项目</w:t>
      </w:r>
      <w:r>
        <w:rPr>
          <w:rFonts w:hint="eastAsia"/>
          <w:color w:val="auto"/>
          <w:sz w:val="44"/>
          <w:szCs w:val="44"/>
        </w:rPr>
        <w:t>专项债券</w:t>
      </w:r>
    </w:p>
    <w:p w14:paraId="04086CCF">
      <w:pPr>
        <w:pStyle w:val="11"/>
        <w:spacing w:after="156" w:afterLines="50"/>
        <w:rPr>
          <w:color w:val="auto"/>
          <w:sz w:val="44"/>
          <w:szCs w:val="44"/>
        </w:rPr>
      </w:pPr>
      <w:r>
        <w:rPr>
          <w:rFonts w:hint="eastAsia"/>
          <w:color w:val="auto"/>
          <w:sz w:val="44"/>
          <w:szCs w:val="44"/>
        </w:rPr>
        <w:t>项目情况</w:t>
      </w:r>
    </w:p>
    <w:p w14:paraId="78D4E523">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一、项目基本情况</w:t>
      </w:r>
    </w:p>
    <w:p w14:paraId="4D0FBC75">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（一）市县及行业专项规划概况</w:t>
      </w:r>
    </w:p>
    <w:p w14:paraId="3FA3BE16">
      <w:pPr>
        <w:ind w:firstLine="480"/>
        <w:rPr>
          <w:color w:val="auto"/>
          <w:lang w:bidi="ar"/>
        </w:rPr>
      </w:pPr>
      <w:r>
        <w:rPr>
          <w:rFonts w:hint="eastAsia"/>
          <w:color w:val="auto"/>
          <w:lang w:bidi="ar"/>
        </w:rPr>
        <w:t>内江市的城镇体系结构，市域形成“1个中心城市、3个副中心城市、25个中心镇、4个副中心镇和33个一般镇”的多级城镇体系。其中，中心城市为内江市中心城区，发挥核心引领带动作用；隆昌市、资中县、威远县为副中心城市；中心镇、副中心镇和一般镇则依据各自基础和特色，承担不同的功能和发展任务。根据《内江市国土空间总体规划（2014-2030年）》，规划控制目标为：到2035年，内江市城镇开发边界面积控制在216.94平方千米以内，引导城镇建设集中、集约发展，避免无序扩张，提高土地利用效率，优化城镇空间布局。生态保护红线面积不低于33.23平方千米，通过落实各类生态保护要求，维护区域生态系统的稳定性和完整性，促进生态环境质量的持续改善。内江市耕地保有量不低于325.58万亩，其中永久基本农田保护面积不低于293.12万亩。</w:t>
      </w:r>
    </w:p>
    <w:p w14:paraId="6B80C2FF">
      <w:pPr>
        <w:ind w:firstLine="480"/>
        <w:rPr>
          <w:color w:val="auto"/>
          <w:lang w:bidi="ar"/>
        </w:rPr>
      </w:pPr>
      <w:r>
        <w:rPr>
          <w:rFonts w:hint="eastAsia"/>
          <w:color w:val="auto"/>
          <w:lang w:bidi="ar"/>
        </w:rPr>
        <w:t>把握战略机遇，激活创新动能，随着巴蜀文化旅游走廊建设纵深推进，内江市成渝轴心的区位优势持续释放，叠加战略实施契机，全市创新平台建设迎来黄金发展期。当前，内江高新区已建成科技企业孵化器、中试研发平台、院士工作站等创新平台，培育国家高新技术企业，川渝新一代电子信息技术产业中试研发平台更跻身工信部首批重点培育中试平台行列，为电子信息、智能制造等主导产业提供核心支撑。未来五年，随着成渝科创走廊协同深化，全市创新基础设施投资预计将增长，为“绿色智造名城”建设注入强劲动能；直面现实瓶颈，破解发展难题，在平台建设加速推进的同时，全市公共技术服务体系仍面临三重突出挑战。一是资源布局不均衡问题显著：优质创新资源集中于高新区，全市省级以上创新平台很少，且多聚焦电子信息领域，锂电、生物医药等“三都”特色产业配套技术平台覆盖率不足；二是转化效能待提升，全市科技成果中试熟化率仍低于成渝平均水平，中小微企业因缺乏专业中试服务导致技术落地周期延长；三是专业设施有短板：生物安全领域仅建成市中区动物疫病病原学监测区域中心（生物安全二级标准），且聚焦兽医检测，生物医药、基因技术等高端领域专业实验室仍属空白，与“绿色智造”产业升级需求存在差距；聚焦提质增效，构建全链体系，未来五年，将以“补短板、强特色、促协同”为核心，推动公共技术服务平台能级跃升，优化平台布局。强化孵化培育，打造“中试-孵化-加速”全链条生态。补齐设施短板：投资建设市级生物安全三级实验室，聚焦生物医药、基因检测等领域。深化协同创新：扩大“政府引导+高校参与+企业共建”模式覆盖面，与高校共建联合创新中心，柔性引进领军人才，推动跨区域技术共享平台。</w:t>
      </w:r>
    </w:p>
    <w:p w14:paraId="21FD681B">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（二）项目情况</w:t>
      </w:r>
    </w:p>
    <w:p w14:paraId="7A90C3FA">
      <w:pPr>
        <w:spacing w:line="560" w:lineRule="exact"/>
        <w:ind w:firstLine="643"/>
        <w:rPr>
          <w:rFonts w:ascii="仿宋_GB2312" w:hAnsi="Calibri" w:eastAsia="仿宋_GB2312"/>
          <w:b/>
          <w:color w:val="auto"/>
          <w:sz w:val="32"/>
          <w:szCs w:val="32"/>
        </w:rPr>
      </w:pPr>
      <w:r>
        <w:rPr>
          <w:rFonts w:hint="eastAsia" w:ascii="仿宋_GB2312" w:hAnsi="Calibri" w:eastAsia="仿宋_GB2312"/>
          <w:b/>
          <w:color w:val="auto"/>
          <w:sz w:val="32"/>
          <w:szCs w:val="32"/>
        </w:rPr>
        <w:t>1.参与主体</w:t>
      </w:r>
    </w:p>
    <w:p w14:paraId="05750392">
      <w:pPr>
        <w:ind w:firstLine="480"/>
        <w:rPr>
          <w:rFonts w:hint="eastAsia" w:eastAsia="仿宋"/>
          <w:color w:val="auto"/>
          <w:lang w:eastAsia="zh-CN" w:bidi="ar"/>
        </w:rPr>
      </w:pPr>
      <w:r>
        <w:rPr>
          <w:rFonts w:hint="eastAsia"/>
          <w:color w:val="auto"/>
          <w:lang w:bidi="ar"/>
        </w:rPr>
        <w:t>实施机构（行业主管部门）：</w:t>
      </w:r>
      <w:r>
        <w:rPr>
          <w:rFonts w:hint="eastAsia"/>
          <w:color w:val="auto"/>
          <w:lang w:eastAsia="zh-CN" w:bidi="ar"/>
        </w:rPr>
        <w:t>内江高新区经济发展局</w:t>
      </w:r>
    </w:p>
    <w:p w14:paraId="50ED51AD">
      <w:pPr>
        <w:ind w:firstLine="480"/>
        <w:rPr>
          <w:rFonts w:hint="eastAsia" w:eastAsia="仿宋"/>
          <w:color w:val="auto"/>
          <w:lang w:eastAsia="zh-CN" w:bidi="ar"/>
        </w:rPr>
      </w:pPr>
      <w:r>
        <w:rPr>
          <w:rFonts w:hint="eastAsia"/>
          <w:color w:val="auto"/>
          <w:lang w:bidi="ar"/>
        </w:rPr>
        <w:t>项目业主：</w:t>
      </w:r>
      <w:r>
        <w:rPr>
          <w:rFonts w:hint="eastAsia"/>
          <w:color w:val="auto"/>
          <w:lang w:eastAsia="zh-CN" w:bidi="ar"/>
        </w:rPr>
        <w:t>内江高新投资有限责任公司</w:t>
      </w:r>
    </w:p>
    <w:p w14:paraId="55ACF1D9">
      <w:pPr>
        <w:spacing w:line="560" w:lineRule="exact"/>
        <w:ind w:firstLine="643"/>
        <w:rPr>
          <w:rFonts w:ascii="仿宋_GB2312" w:hAnsi="Calibri" w:eastAsia="仿宋_GB2312"/>
          <w:b/>
          <w:color w:val="auto"/>
          <w:sz w:val="32"/>
          <w:szCs w:val="32"/>
        </w:rPr>
      </w:pPr>
      <w:r>
        <w:rPr>
          <w:rFonts w:hint="eastAsia" w:ascii="仿宋_GB2312" w:hAnsi="Calibri" w:eastAsia="仿宋_GB2312"/>
          <w:b/>
          <w:color w:val="auto"/>
          <w:sz w:val="32"/>
          <w:szCs w:val="32"/>
        </w:rPr>
        <w:t>2</w:t>
      </w:r>
      <w:r>
        <w:rPr>
          <w:rFonts w:ascii="仿宋_GB2312" w:hAnsi="Calibri" w:eastAsia="仿宋_GB2312"/>
          <w:b/>
          <w:color w:val="auto"/>
          <w:sz w:val="32"/>
          <w:szCs w:val="32"/>
        </w:rPr>
        <w:t>.</w:t>
      </w:r>
      <w:r>
        <w:rPr>
          <w:rFonts w:hint="eastAsia" w:ascii="仿宋_GB2312" w:hAnsi="Calibri" w:eastAsia="仿宋_GB2312"/>
          <w:b/>
          <w:color w:val="auto"/>
          <w:sz w:val="32"/>
          <w:szCs w:val="32"/>
        </w:rPr>
        <w:t>项目概况</w:t>
      </w:r>
    </w:p>
    <w:p w14:paraId="21320741">
      <w:pPr>
        <w:ind w:firstLine="480"/>
        <w:rPr>
          <w:bCs/>
          <w:color w:val="auto"/>
          <w:kern w:val="0"/>
        </w:rPr>
      </w:pPr>
      <w:r>
        <w:rPr>
          <w:rFonts w:hint="eastAsia"/>
          <w:bCs/>
          <w:color w:val="auto"/>
          <w:kern w:val="0"/>
        </w:rPr>
        <w:t>本项目是创新平台、孵化器、中试基地、生物安全实验室等公共技术服务平台和基础设施建设，项目总投资估算为</w:t>
      </w:r>
      <w:r>
        <w:rPr>
          <w:rFonts w:hint="eastAsia"/>
          <w:bCs/>
          <w:color w:val="auto"/>
          <w:kern w:val="0"/>
          <w:lang w:eastAsia="zh-CN"/>
        </w:rPr>
        <w:t>12015.00</w:t>
      </w:r>
      <w:r>
        <w:rPr>
          <w:bCs/>
          <w:color w:val="auto"/>
          <w:kern w:val="0"/>
        </w:rPr>
        <w:t>万元。项目位于</w:t>
      </w:r>
      <w:r>
        <w:rPr>
          <w:rFonts w:hint="eastAsia"/>
          <w:bCs/>
          <w:color w:val="auto"/>
          <w:kern w:val="0"/>
        </w:rPr>
        <w:t>内江市高新区</w:t>
      </w:r>
      <w:r>
        <w:rPr>
          <w:bCs/>
          <w:color w:val="auto"/>
          <w:kern w:val="0"/>
        </w:rPr>
        <w:t>，</w:t>
      </w:r>
      <w:r>
        <w:rPr>
          <w:rFonts w:hint="eastAsia"/>
          <w:bCs/>
          <w:color w:val="auto"/>
          <w:kern w:val="0"/>
        </w:rPr>
        <w:t>项目拟打造内江国家级高新区智慧园区，进行智慧化改造及数字化升级赋能，建设人工智能“万物智联”平台，建设内容包含：建设园区智慧管理平台，包含园区资产管理系统、物业管理系统、智慧交通系统等管理系统；数字化产业孵化培育平台、招商服务平台、产业发展资源共享平台、企业服务平台、专业技术培训支撑平台等公共服务平台，以及数字孪生3D可视化驾驶舱、可视化记录系统1套、可视化传感系统1套、前端感知设备1000套、10台巡更巡检机器人等,构建覆盖82000平方米专业厂房及厂房全域物联网，以及采购相关设施设备，搭建覆盖生产、研发、管理全场景的数字底座，实现“产业数据互通、设备协同联动、运营高效管控”。该项目不涉及新增算力。</w:t>
      </w:r>
      <w:r>
        <w:rPr>
          <w:bCs/>
          <w:color w:val="auto"/>
          <w:kern w:val="0"/>
        </w:rPr>
        <w:t>。该项目符合控制性详细规划，已取</w:t>
      </w:r>
      <w:r>
        <w:rPr>
          <w:rFonts w:hint="eastAsia"/>
          <w:bCs/>
          <w:color w:val="auto"/>
          <w:kern w:val="0"/>
          <w:lang w:val="en-US" w:eastAsia="zh-CN"/>
        </w:rPr>
        <w:t>用地文件、立项文件</w:t>
      </w:r>
      <w:r>
        <w:rPr>
          <w:bCs/>
          <w:color w:val="auto"/>
          <w:kern w:val="0"/>
        </w:rPr>
        <w:t>等合法合规性文件。</w:t>
      </w:r>
    </w:p>
    <w:p w14:paraId="5BE7B4DE">
      <w:pPr>
        <w:pStyle w:val="13"/>
        <w:rPr>
          <w:color w:val="auto"/>
        </w:rPr>
      </w:pPr>
    </w:p>
    <w:p w14:paraId="2B19A1FB">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二、经济社会效益分析</w:t>
      </w:r>
    </w:p>
    <w:p w14:paraId="19D283B6">
      <w:pPr>
        <w:ind w:firstLine="480"/>
        <w:rPr>
          <w:bCs/>
          <w:color w:val="auto"/>
          <w:kern w:val="0"/>
        </w:rPr>
      </w:pPr>
      <w:bookmarkStart w:id="0" w:name="OLE_LINK52"/>
      <w:r>
        <w:rPr>
          <w:rFonts w:hint="eastAsia"/>
          <w:bCs/>
          <w:color w:val="auto"/>
          <w:kern w:val="0"/>
        </w:rPr>
        <w:t>在经济效益方面，</w:t>
      </w:r>
      <w:r>
        <w:rPr>
          <w:rFonts w:hint="eastAsia"/>
          <w:bCs/>
          <w:color w:val="auto"/>
          <w:kern w:val="0"/>
          <w:lang w:eastAsia="zh-CN"/>
        </w:rPr>
        <w:t>内江国家级高新区产业园区智慧化暨数字化升级项目</w:t>
      </w:r>
      <w:r>
        <w:rPr>
          <w:rFonts w:hint="eastAsia"/>
          <w:bCs/>
          <w:color w:val="auto"/>
          <w:kern w:val="0"/>
        </w:rPr>
        <w:t>总投资估算为</w:t>
      </w:r>
      <w:r>
        <w:rPr>
          <w:rFonts w:hint="eastAsia"/>
          <w:bCs/>
          <w:color w:val="auto"/>
          <w:kern w:val="0"/>
          <w:lang w:eastAsia="zh-CN"/>
        </w:rPr>
        <w:t>12015.00</w:t>
      </w:r>
      <w:r>
        <w:rPr>
          <w:bCs/>
          <w:color w:val="auto"/>
          <w:kern w:val="0"/>
        </w:rPr>
        <w:t>万元。项目建成以后可获得</w:t>
      </w:r>
      <w:r>
        <w:rPr>
          <w:rFonts w:hint="eastAsia"/>
          <w:bCs/>
          <w:color w:val="auto"/>
          <w:kern w:val="0"/>
          <w:lang w:eastAsia="zh-CN"/>
        </w:rPr>
        <w:t>数字化产业孵化培育平台收入、产业发展资源服务收入、创新人才技术平台使用收入</w:t>
      </w:r>
      <w:r>
        <w:rPr>
          <w:bCs/>
          <w:color w:val="auto"/>
          <w:kern w:val="0"/>
        </w:rPr>
        <w:t>，可实现项目收入总计为</w:t>
      </w:r>
      <w:r>
        <w:rPr>
          <w:rFonts w:hint="eastAsia"/>
          <w:bCs/>
          <w:color w:val="auto"/>
          <w:kern w:val="0"/>
          <w:lang w:eastAsia="zh-CN"/>
        </w:rPr>
        <w:t>67624.90</w:t>
      </w:r>
      <w:r>
        <w:rPr>
          <w:bCs/>
          <w:color w:val="auto"/>
          <w:kern w:val="0"/>
        </w:rPr>
        <w:t>万元，待本项目全部</w:t>
      </w:r>
      <w:r>
        <w:rPr>
          <w:rFonts w:hint="eastAsia"/>
          <w:bCs/>
          <w:color w:val="auto"/>
          <w:kern w:val="0"/>
          <w:lang w:eastAsia="zh-CN"/>
        </w:rPr>
        <w:t>9500.00</w:t>
      </w:r>
      <w:r>
        <w:rPr>
          <w:bCs/>
          <w:color w:val="auto"/>
          <w:kern w:val="0"/>
        </w:rPr>
        <w:t>万元专项债到期时，在偿还到期的债券本息后，将仍有</w:t>
      </w:r>
      <w:r>
        <w:rPr>
          <w:rFonts w:hint="eastAsia"/>
          <w:bCs/>
          <w:color w:val="auto"/>
          <w:kern w:val="0"/>
          <w:lang w:eastAsia="zh-CN"/>
        </w:rPr>
        <w:t>1614.11</w:t>
      </w:r>
      <w:r>
        <w:rPr>
          <w:bCs/>
          <w:color w:val="auto"/>
          <w:kern w:val="0"/>
        </w:rPr>
        <w:t>万元的累计现金结余。其中：项目债券本息覆盖倍数为</w:t>
      </w:r>
      <w:r>
        <w:rPr>
          <w:rFonts w:hint="eastAsia"/>
          <w:bCs/>
          <w:color w:val="auto"/>
          <w:kern w:val="0"/>
          <w:lang w:eastAsia="zh-CN"/>
        </w:rPr>
        <w:t>1.07</w:t>
      </w:r>
      <w:r>
        <w:rPr>
          <w:bCs/>
          <w:color w:val="auto"/>
          <w:kern w:val="0"/>
        </w:rPr>
        <w:t>。预期实现的运营净收入能够合理保障偿还融资本金和利息,能够实现项目收益和融资自求平衡。本项目的完成</w:t>
      </w:r>
      <w:r>
        <w:rPr>
          <w:rFonts w:hint="eastAsia"/>
          <w:bCs/>
          <w:color w:val="auto"/>
          <w:kern w:val="0"/>
          <w:lang w:val="en-US" w:eastAsia="zh-CN"/>
        </w:rPr>
        <w:t>能</w:t>
      </w:r>
      <w:r>
        <w:rPr>
          <w:rFonts w:hint="eastAsia"/>
          <w:bCs/>
          <w:color w:val="auto"/>
          <w:kern w:val="0"/>
        </w:rPr>
        <w:t>改善交通与环境体验：智慧交通系统能有效缓解园区周边交通拥堵；环境监测设备能实时监控空气质量、噪音、水质等，推动绿色生产，为工作和生活在此的人们创造更舒适、健康的环境。打造一个现代化、智能化的园区环境，以及对专业技术培训的支撑，对高端人才具有强大的“磁石效应”。它不仅能吸引外部人才，还能通过培训体系本地化培养数字化人才，提升区域整体人才素质。</w:t>
      </w:r>
    </w:p>
    <w:p w14:paraId="36BDB340">
      <w:pPr>
        <w:ind w:firstLine="480"/>
        <w:rPr>
          <w:rFonts w:hint="eastAsia"/>
          <w:bCs/>
          <w:color w:val="auto"/>
          <w:kern w:val="0"/>
        </w:rPr>
      </w:pPr>
      <w:r>
        <w:rPr>
          <w:rFonts w:hint="eastAsia"/>
          <w:bCs/>
          <w:color w:val="auto"/>
          <w:kern w:val="0"/>
        </w:rPr>
        <w:t>在社会效益方面，项目的建设将深度激活园区的产业集群优势与创新资源潜力，整合打造具有辨识度的现代化产业园区品牌名片。通过智慧园区管理平台的招商展示与品牌推广功能，高新区能够以更具系统性和专业性的方式向全国乃至全球产业伙伴展现其投资价值与发展活力，例如通过线上专题推介高新技术产业成果、承办区域性产业创新峰会等，进一步提升园区的行业影响力和品牌知名度。同时，该升级项目还将吸引优质产业项目、高端技术人才和战略投资者的聚焦，为内江高新区的产业迭代与经济高质量发展注入持续动力。从长期发展来看，内江高新区有望凭借核心竞争力的强化和产业品牌力的提升，在区域产业数字化转型浪潮中抢占先机，成为西南地区智慧产业园区建设的示范标杆和产业升级的重要增长极。</w:t>
      </w:r>
    </w:p>
    <w:p w14:paraId="28ED420C">
      <w:pPr>
        <w:pStyle w:val="13"/>
        <w:rPr>
          <w:color w:val="auto"/>
        </w:rPr>
      </w:pPr>
    </w:p>
    <w:bookmarkEnd w:id="0"/>
    <w:p w14:paraId="132F6C55">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三、项目投资估算及资金筹措方案</w:t>
      </w:r>
    </w:p>
    <w:p w14:paraId="13C139F7">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（一）投资估算</w:t>
      </w:r>
    </w:p>
    <w:p w14:paraId="5B12929B">
      <w:pPr>
        <w:ind w:firstLine="480"/>
        <w:rPr>
          <w:color w:val="auto"/>
        </w:rPr>
      </w:pPr>
      <w:r>
        <w:rPr>
          <w:rFonts w:hint="eastAsia"/>
          <w:color w:val="auto"/>
        </w:rPr>
        <w:t>项目总投资估算为</w:t>
      </w:r>
      <w:r>
        <w:rPr>
          <w:rFonts w:hint="eastAsia"/>
          <w:color w:val="auto"/>
          <w:lang w:eastAsia="zh-CN"/>
        </w:rPr>
        <w:t>12015.00</w:t>
      </w:r>
      <w:r>
        <w:rPr>
          <w:color w:val="auto"/>
        </w:rPr>
        <w:t>万元，其中工程费用为</w:t>
      </w:r>
      <w:r>
        <w:rPr>
          <w:rFonts w:hint="eastAsia"/>
          <w:color w:val="auto"/>
          <w:lang w:eastAsia="zh-CN"/>
        </w:rPr>
        <w:t>10186.00</w:t>
      </w:r>
      <w:r>
        <w:rPr>
          <w:color w:val="auto"/>
        </w:rPr>
        <w:t>万元，工程建设其他费用为</w:t>
      </w:r>
      <w:r>
        <w:rPr>
          <w:rFonts w:hint="eastAsia"/>
          <w:color w:val="auto"/>
          <w:lang w:eastAsia="zh-CN"/>
        </w:rPr>
        <w:t>888.28</w:t>
      </w:r>
      <w:r>
        <w:rPr>
          <w:color w:val="auto"/>
        </w:rPr>
        <w:t>万元，基本预备费</w:t>
      </w:r>
      <w:r>
        <w:rPr>
          <w:rFonts w:hint="eastAsia"/>
          <w:color w:val="auto"/>
          <w:lang w:eastAsia="zh-CN"/>
        </w:rPr>
        <w:t>469.22</w:t>
      </w:r>
      <w:r>
        <w:rPr>
          <w:color w:val="auto"/>
        </w:rPr>
        <w:t>万元，建设期融资利息</w:t>
      </w:r>
      <w:r>
        <w:rPr>
          <w:rFonts w:hint="eastAsia"/>
          <w:color w:val="auto"/>
          <w:lang w:eastAsia="zh-CN"/>
        </w:rPr>
        <w:t>462.00</w:t>
      </w:r>
      <w:r>
        <w:rPr>
          <w:color w:val="auto"/>
        </w:rPr>
        <w:t>万元，债券发行费为</w:t>
      </w:r>
      <w:r>
        <w:rPr>
          <w:rFonts w:hint="eastAsia"/>
          <w:color w:val="auto"/>
          <w:lang w:eastAsia="zh-CN"/>
        </w:rPr>
        <w:t>9.5</w:t>
      </w:r>
      <w:r>
        <w:rPr>
          <w:color w:val="auto"/>
        </w:rPr>
        <w:t>万元。</w:t>
      </w:r>
    </w:p>
    <w:p w14:paraId="7677AFBC">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（二）资金筹措方案</w:t>
      </w:r>
    </w:p>
    <w:p w14:paraId="260BE9B9">
      <w:pPr>
        <w:spacing w:line="560" w:lineRule="exact"/>
        <w:ind w:firstLine="643"/>
        <w:rPr>
          <w:rFonts w:ascii="仿宋_GB2312" w:hAnsi="Calibri" w:eastAsia="仿宋_GB2312"/>
          <w:b/>
          <w:color w:val="auto"/>
          <w:sz w:val="32"/>
          <w:szCs w:val="32"/>
        </w:rPr>
      </w:pPr>
      <w:r>
        <w:rPr>
          <w:rFonts w:ascii="仿宋_GB2312" w:hAnsi="Calibri" w:eastAsia="仿宋_GB2312"/>
          <w:b/>
          <w:color w:val="auto"/>
          <w:sz w:val="32"/>
          <w:szCs w:val="32"/>
        </w:rPr>
        <w:t>1.</w:t>
      </w:r>
      <w:r>
        <w:rPr>
          <w:rFonts w:hint="eastAsia" w:ascii="仿宋_GB2312" w:hAnsi="Calibri" w:eastAsia="仿宋_GB2312"/>
          <w:b/>
          <w:color w:val="auto"/>
          <w:sz w:val="32"/>
          <w:szCs w:val="32"/>
        </w:rPr>
        <w:t>资金筹集情况</w:t>
      </w:r>
    </w:p>
    <w:p w14:paraId="1F5C7511">
      <w:pPr>
        <w:ind w:firstLine="480"/>
        <w:rPr>
          <w:color w:val="auto"/>
        </w:rPr>
      </w:pPr>
      <w:r>
        <w:rPr>
          <w:rFonts w:hint="eastAsia"/>
          <w:color w:val="auto"/>
        </w:rPr>
        <w:t>该项目总投资估算为</w:t>
      </w:r>
      <w:r>
        <w:rPr>
          <w:rFonts w:hint="eastAsia"/>
          <w:color w:val="auto"/>
          <w:lang w:eastAsia="zh-CN"/>
        </w:rPr>
        <w:t>12015.00</w:t>
      </w:r>
      <w:r>
        <w:rPr>
          <w:color w:val="auto"/>
        </w:rPr>
        <w:t>万元，资金来源于</w:t>
      </w:r>
      <w:r>
        <w:rPr>
          <w:rFonts w:hint="eastAsia"/>
          <w:color w:val="auto"/>
          <w:lang w:eastAsia="zh-CN"/>
        </w:rPr>
        <w:t>业主自筹</w:t>
      </w:r>
      <w:r>
        <w:rPr>
          <w:color w:val="auto"/>
        </w:rPr>
        <w:t>和专项债券资金。其中项目资本金</w:t>
      </w:r>
      <w:r>
        <w:rPr>
          <w:rFonts w:hint="eastAsia"/>
          <w:color w:val="auto"/>
          <w:lang w:eastAsia="zh-CN"/>
        </w:rPr>
        <w:t>2515.00</w:t>
      </w:r>
      <w:r>
        <w:rPr>
          <w:color w:val="auto"/>
        </w:rPr>
        <w:t>万元，占总投资的</w:t>
      </w:r>
      <w:r>
        <w:rPr>
          <w:rFonts w:hint="eastAsia"/>
          <w:color w:val="auto"/>
          <w:lang w:eastAsia="zh-CN"/>
        </w:rPr>
        <w:t>20.93%</w:t>
      </w:r>
      <w:r>
        <w:rPr>
          <w:color w:val="auto"/>
        </w:rPr>
        <w:t>，由</w:t>
      </w:r>
      <w:r>
        <w:rPr>
          <w:rFonts w:hint="eastAsia"/>
          <w:color w:val="auto"/>
          <w:lang w:eastAsia="zh-CN"/>
        </w:rPr>
        <w:t>业主自筹</w:t>
      </w:r>
      <w:r>
        <w:rPr>
          <w:color w:val="auto"/>
        </w:rPr>
        <w:t>；剩余资金缺口拟通过发行</w:t>
      </w:r>
      <w:r>
        <w:rPr>
          <w:rFonts w:hint="eastAsia"/>
          <w:color w:val="auto"/>
          <w:lang w:eastAsia="zh-CN"/>
        </w:rPr>
        <w:t>9500.00</w:t>
      </w:r>
      <w:r>
        <w:rPr>
          <w:color w:val="auto"/>
        </w:rPr>
        <w:t>万元专项债券融资，占总投资的</w:t>
      </w:r>
      <w:r>
        <w:rPr>
          <w:rFonts w:hint="eastAsia"/>
          <w:color w:val="auto"/>
          <w:lang w:eastAsia="zh-CN"/>
        </w:rPr>
        <w:t>79.07%</w:t>
      </w:r>
      <w:r>
        <w:rPr>
          <w:color w:val="auto"/>
        </w:rPr>
        <w:t>，融资利率</w:t>
      </w:r>
      <w:r>
        <w:rPr>
          <w:rFonts w:hint="eastAsia"/>
          <w:color w:val="auto"/>
        </w:rPr>
        <w:t>2.8%</w:t>
      </w:r>
      <w:r>
        <w:rPr>
          <w:color w:val="auto"/>
        </w:rPr>
        <w:t>，期限</w:t>
      </w:r>
      <w:r>
        <w:rPr>
          <w:rFonts w:hint="eastAsia"/>
          <w:color w:val="auto"/>
          <w:lang w:val="en-US" w:eastAsia="zh-CN"/>
        </w:rPr>
        <w:t>30</w:t>
      </w:r>
      <w:r>
        <w:rPr>
          <w:color w:val="auto"/>
        </w:rPr>
        <w:t>年。</w:t>
      </w:r>
    </w:p>
    <w:p w14:paraId="6E22664D">
      <w:pPr>
        <w:spacing w:line="560" w:lineRule="exact"/>
        <w:ind w:firstLine="643"/>
        <w:rPr>
          <w:rFonts w:ascii="仿宋_GB2312" w:hAnsi="Calibri" w:eastAsia="仿宋_GB2312"/>
          <w:b/>
          <w:color w:val="auto"/>
          <w:sz w:val="32"/>
          <w:szCs w:val="32"/>
        </w:rPr>
      </w:pPr>
      <w:r>
        <w:rPr>
          <w:rFonts w:hint="eastAsia" w:ascii="仿宋_GB2312" w:hAnsi="Calibri" w:eastAsia="仿宋_GB2312"/>
          <w:b/>
          <w:color w:val="auto"/>
          <w:sz w:val="32"/>
          <w:szCs w:val="32"/>
        </w:rPr>
        <w:t>2.资金使用计划</w:t>
      </w:r>
    </w:p>
    <w:p w14:paraId="74B76420">
      <w:pPr>
        <w:ind w:firstLine="480"/>
        <w:rPr>
          <w:color w:val="auto"/>
        </w:rPr>
      </w:pPr>
      <w:r>
        <w:rPr>
          <w:rFonts w:hint="eastAsia"/>
          <w:color w:val="auto"/>
        </w:rPr>
        <w:t>根据项目建设进度及建设内容和业主的资金安排，项目建设资金将在前</w:t>
      </w:r>
      <w:r>
        <w:rPr>
          <w:rFonts w:hint="eastAsia"/>
          <w:color w:val="auto"/>
          <w:lang w:val="en-US" w:eastAsia="zh-CN"/>
        </w:rPr>
        <w:t>2</w:t>
      </w:r>
      <w:r>
        <w:rPr>
          <w:rFonts w:hint="eastAsia"/>
          <w:color w:val="auto"/>
        </w:rPr>
        <w:t>年投入，建设计划、资金使用与投资计划相匹配。本项目</w:t>
      </w:r>
      <w:r>
        <w:rPr>
          <w:rFonts w:hint="eastAsia"/>
          <w:color w:val="auto"/>
          <w:lang w:bidi="ar"/>
        </w:rPr>
        <w:t>施工划分为</w:t>
      </w:r>
      <w:r>
        <w:rPr>
          <w:rFonts w:hint="eastAsia"/>
          <w:color w:val="auto"/>
          <w:lang w:val="en-US" w:eastAsia="zh-CN" w:bidi="ar"/>
        </w:rPr>
        <w:t>2</w:t>
      </w:r>
      <w:r>
        <w:rPr>
          <w:rFonts w:hint="eastAsia"/>
          <w:color w:val="auto"/>
          <w:lang w:bidi="ar"/>
        </w:rPr>
        <w:t>个阶段，耗时</w:t>
      </w:r>
      <w:r>
        <w:rPr>
          <w:rFonts w:hint="eastAsia"/>
          <w:color w:val="auto"/>
          <w:lang w:val="en-US" w:eastAsia="zh-CN" w:bidi="ar"/>
        </w:rPr>
        <w:t>2</w:t>
      </w:r>
      <w:r>
        <w:rPr>
          <w:rFonts w:hint="eastAsia"/>
          <w:color w:val="auto"/>
          <w:lang w:bidi="ar"/>
        </w:rPr>
        <w:t>年</w:t>
      </w:r>
      <w:r>
        <w:rPr>
          <w:rFonts w:hint="eastAsia"/>
          <w:color w:val="auto"/>
        </w:rPr>
        <w:t>（含前期工作时间）。从2026年3月</w:t>
      </w:r>
      <w:r>
        <w:rPr>
          <w:color w:val="auto"/>
        </w:rPr>
        <w:t>初开始施工建设，</w:t>
      </w:r>
      <w:r>
        <w:rPr>
          <w:rFonts w:hint="eastAsia"/>
          <w:color w:val="auto"/>
        </w:rPr>
        <w:t>2028年2月</w:t>
      </w:r>
      <w:r>
        <w:rPr>
          <w:color w:val="auto"/>
        </w:rPr>
        <w:t>完成竣工验收。工程施工阶段在</w:t>
      </w:r>
      <w:r>
        <w:rPr>
          <w:rFonts w:hint="eastAsia"/>
          <w:color w:val="auto"/>
          <w:lang w:val="en-US" w:eastAsia="zh-CN"/>
        </w:rPr>
        <w:t>2028</w:t>
      </w:r>
      <w:r>
        <w:rPr>
          <w:color w:val="auto"/>
        </w:rPr>
        <w:t>年</w:t>
      </w:r>
      <w:r>
        <w:rPr>
          <w:rFonts w:hint="eastAsia"/>
          <w:color w:val="auto"/>
          <w:lang w:val="en-US" w:eastAsia="zh-CN"/>
        </w:rPr>
        <w:t>2</w:t>
      </w:r>
      <w:r>
        <w:rPr>
          <w:color w:val="auto"/>
        </w:rPr>
        <w:t>月前完成，于</w:t>
      </w:r>
      <w:r>
        <w:rPr>
          <w:rFonts w:hint="eastAsia"/>
          <w:color w:val="auto"/>
          <w:lang w:val="en-US" w:eastAsia="zh-CN"/>
        </w:rPr>
        <w:t>2028</w:t>
      </w:r>
      <w:r>
        <w:rPr>
          <w:color w:val="auto"/>
        </w:rPr>
        <w:t>年</w:t>
      </w:r>
      <w:r>
        <w:rPr>
          <w:rFonts w:hint="eastAsia"/>
          <w:color w:val="auto"/>
          <w:lang w:val="en-US" w:eastAsia="zh-CN"/>
        </w:rPr>
        <w:t>2</w:t>
      </w:r>
      <w:r>
        <w:rPr>
          <w:color w:val="auto"/>
        </w:rPr>
        <w:t>月，项目竣工验收，并交付使用。</w:t>
      </w:r>
      <w:r>
        <w:rPr>
          <w:rFonts w:hint="eastAsia"/>
          <w:color w:val="auto"/>
        </w:rPr>
        <w:t>按照建设进度，建设期第</w:t>
      </w:r>
      <w:r>
        <w:rPr>
          <w:rFonts w:hint="eastAsia"/>
          <w:color w:val="auto"/>
          <w:lang w:val="en-US" w:eastAsia="zh-CN"/>
        </w:rPr>
        <w:t>1</w:t>
      </w:r>
      <w:r>
        <w:rPr>
          <w:rFonts w:hint="eastAsia"/>
          <w:color w:val="auto"/>
        </w:rPr>
        <w:t>年（含以前年度）计划投资8852.65万元，第</w:t>
      </w:r>
      <w:r>
        <w:rPr>
          <w:rFonts w:hint="eastAsia"/>
          <w:color w:val="auto"/>
          <w:lang w:val="en-US" w:eastAsia="zh-CN"/>
        </w:rPr>
        <w:t>2</w:t>
      </w:r>
      <w:r>
        <w:rPr>
          <w:rFonts w:hint="eastAsia"/>
          <w:color w:val="auto"/>
        </w:rPr>
        <w:t>年计划投资3162.35万元。</w:t>
      </w:r>
    </w:p>
    <w:p w14:paraId="373AA835">
      <w:pPr>
        <w:pStyle w:val="29"/>
        <w:rPr>
          <w:color w:val="auto"/>
        </w:rPr>
      </w:pPr>
      <w:r>
        <w:rPr>
          <w:rFonts w:hint="eastAsia"/>
          <w:color w:val="auto"/>
          <w:lang w:bidi="ar"/>
        </w:rPr>
        <w:t>资金使用计划表（</w:t>
      </w:r>
      <w:r>
        <w:rPr>
          <w:rFonts w:hint="eastAsia"/>
          <w:color w:val="auto"/>
        </w:rPr>
        <w:t>金额单位：</w:t>
      </w:r>
      <w:r>
        <w:rPr>
          <w:rFonts w:hint="eastAsia"/>
          <w:color w:val="auto"/>
          <w:lang w:val="zh-CN"/>
        </w:rPr>
        <w:t>人民币</w:t>
      </w:r>
      <w:r>
        <w:rPr>
          <w:rFonts w:hint="eastAsia"/>
          <w:color w:val="auto"/>
        </w:rPr>
        <w:t>万元）</w:t>
      </w:r>
    </w:p>
    <w:tbl>
      <w:tblPr>
        <w:tblStyle w:val="14"/>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490"/>
        <w:gridCol w:w="2229"/>
        <w:gridCol w:w="998"/>
        <w:gridCol w:w="1359"/>
        <w:gridCol w:w="1362"/>
        <w:gridCol w:w="875"/>
      </w:tblGrid>
      <w:tr w14:paraId="0F154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jc w:val="center"/>
        </w:trPr>
        <w:tc>
          <w:tcPr>
            <w:tcW w:w="89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23B8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序号</w:t>
            </w:r>
          </w:p>
        </w:tc>
        <w:tc>
          <w:tcPr>
            <w:tcW w:w="13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29545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项目名称</w:t>
            </w:r>
          </w:p>
        </w:tc>
        <w:tc>
          <w:tcPr>
            <w:tcW w:w="60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5496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合计</w:t>
            </w:r>
          </w:p>
        </w:tc>
        <w:tc>
          <w:tcPr>
            <w:tcW w:w="1636" w:type="pct"/>
            <w:gridSpan w:val="2"/>
            <w:tcBorders>
              <w:top w:val="single" w:color="000000" w:sz="4" w:space="0"/>
              <w:left w:val="single" w:color="000000" w:sz="4" w:space="0"/>
              <w:bottom w:val="single" w:color="000000" w:sz="4" w:space="0"/>
              <w:right w:val="nil"/>
            </w:tcBorders>
            <w:shd w:val="clear" w:color="auto" w:fill="auto"/>
            <w:noWrap/>
            <w:vAlign w:val="center"/>
          </w:tcPr>
          <w:p w14:paraId="5CF443B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资金来源及分年使用计划</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A106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比例</w:t>
            </w:r>
          </w:p>
        </w:tc>
      </w:tr>
      <w:tr w14:paraId="7E84D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jc w:val="center"/>
        </w:trPr>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526EA">
            <w:pPr>
              <w:jc w:val="center"/>
              <w:rPr>
                <w:rFonts w:hint="eastAsia" w:ascii="仿宋" w:hAnsi="仿宋" w:eastAsia="仿宋" w:cs="仿宋"/>
                <w:b w:val="0"/>
                <w:bCs w:val="0"/>
                <w:i w:val="0"/>
                <w:iCs w:val="0"/>
                <w:color w:val="auto"/>
                <w:sz w:val="16"/>
                <w:szCs w:val="16"/>
                <w:u w:val="none"/>
              </w:rPr>
            </w:pPr>
          </w:p>
        </w:tc>
        <w:tc>
          <w:tcPr>
            <w:tcW w:w="13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8F25C">
            <w:pPr>
              <w:jc w:val="center"/>
              <w:rPr>
                <w:rFonts w:hint="eastAsia" w:ascii="仿宋" w:hAnsi="仿宋" w:eastAsia="仿宋" w:cs="仿宋"/>
                <w:b w:val="0"/>
                <w:bCs w:val="0"/>
                <w:i w:val="0"/>
                <w:iCs w:val="0"/>
                <w:color w:val="auto"/>
                <w:sz w:val="16"/>
                <w:szCs w:val="16"/>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83A74">
            <w:pPr>
              <w:jc w:val="center"/>
              <w:rPr>
                <w:rFonts w:hint="eastAsia" w:ascii="仿宋" w:hAnsi="仿宋" w:eastAsia="仿宋" w:cs="仿宋"/>
                <w:b w:val="0"/>
                <w:bCs w:val="0"/>
                <w:i w:val="0"/>
                <w:iCs w:val="0"/>
                <w:color w:val="auto"/>
                <w:sz w:val="16"/>
                <w:szCs w:val="16"/>
                <w:u w:val="none"/>
              </w:rPr>
            </w:pP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694B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第一年</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F69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第二年</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AD807">
            <w:pPr>
              <w:jc w:val="center"/>
              <w:rPr>
                <w:rFonts w:hint="eastAsia" w:ascii="仿宋" w:hAnsi="仿宋" w:eastAsia="仿宋" w:cs="仿宋"/>
                <w:b w:val="0"/>
                <w:bCs w:val="0"/>
                <w:i w:val="0"/>
                <w:iCs w:val="0"/>
                <w:color w:val="auto"/>
                <w:sz w:val="16"/>
                <w:szCs w:val="16"/>
                <w:u w:val="none"/>
              </w:rPr>
            </w:pPr>
          </w:p>
        </w:tc>
      </w:tr>
      <w:tr w14:paraId="0D8A6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jc w:val="center"/>
        </w:trPr>
        <w:tc>
          <w:tcPr>
            <w:tcW w:w="89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BEC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项目投资</w:t>
            </w: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AB0D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项目建设总投资</w:t>
            </w:r>
          </w:p>
        </w:tc>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B6C3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11543.50 </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5490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8649.65 </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1976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2893.85 </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08DB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96.08%</w:t>
            </w:r>
          </w:p>
        </w:tc>
      </w:tr>
      <w:tr w14:paraId="52133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jc w:val="center"/>
        </w:trPr>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E6BDF">
            <w:pPr>
              <w:jc w:val="center"/>
              <w:rPr>
                <w:rFonts w:hint="eastAsia" w:ascii="仿宋" w:hAnsi="仿宋" w:eastAsia="仿宋" w:cs="仿宋"/>
                <w:i w:val="0"/>
                <w:iCs w:val="0"/>
                <w:color w:val="auto"/>
                <w:sz w:val="16"/>
                <w:szCs w:val="16"/>
                <w:u w:val="none"/>
              </w:rPr>
            </w:pP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B040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项目建设期发债利息</w:t>
            </w:r>
          </w:p>
        </w:tc>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3E44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462.00 </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A285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196.00 </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6A33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266.00 </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1E36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3.85%</w:t>
            </w:r>
          </w:p>
        </w:tc>
      </w:tr>
      <w:tr w14:paraId="01B8B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jc w:val="center"/>
        </w:trPr>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DD645">
            <w:pPr>
              <w:jc w:val="center"/>
              <w:rPr>
                <w:rFonts w:hint="eastAsia" w:ascii="仿宋" w:hAnsi="仿宋" w:eastAsia="仿宋" w:cs="仿宋"/>
                <w:i w:val="0"/>
                <w:iCs w:val="0"/>
                <w:color w:val="auto"/>
                <w:sz w:val="16"/>
                <w:szCs w:val="16"/>
                <w:u w:val="none"/>
              </w:rPr>
            </w:pP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949D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债券发行费</w:t>
            </w:r>
          </w:p>
        </w:tc>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043F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9.50 </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3051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7.00 </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2F69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2.50 </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D2A6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w:t>
            </w:r>
            <w:r>
              <w:rPr>
                <w:rFonts w:hint="eastAsia" w:cs="仿宋"/>
                <w:i w:val="0"/>
                <w:iCs w:val="0"/>
                <w:color w:val="auto"/>
                <w:kern w:val="0"/>
                <w:sz w:val="16"/>
                <w:szCs w:val="16"/>
                <w:u w:val="none"/>
                <w:lang w:val="en-US" w:eastAsia="zh-CN" w:bidi="ar"/>
              </w:rPr>
              <w:t>7</w:t>
            </w:r>
            <w:r>
              <w:rPr>
                <w:rFonts w:hint="eastAsia" w:ascii="仿宋" w:hAnsi="仿宋" w:eastAsia="仿宋" w:cs="仿宋"/>
                <w:i w:val="0"/>
                <w:iCs w:val="0"/>
                <w:color w:val="auto"/>
                <w:kern w:val="0"/>
                <w:sz w:val="16"/>
                <w:szCs w:val="16"/>
                <w:u w:val="none"/>
                <w:lang w:val="en-US" w:eastAsia="zh-CN" w:bidi="ar"/>
              </w:rPr>
              <w:t>%</w:t>
            </w:r>
          </w:p>
        </w:tc>
      </w:tr>
      <w:tr w14:paraId="07198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jc w:val="center"/>
        </w:trPr>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BFDEF">
            <w:pPr>
              <w:jc w:val="center"/>
              <w:rPr>
                <w:rFonts w:hint="eastAsia" w:ascii="仿宋" w:hAnsi="仿宋" w:eastAsia="仿宋" w:cs="仿宋"/>
                <w:i w:val="0"/>
                <w:iCs w:val="0"/>
                <w:color w:val="auto"/>
                <w:sz w:val="16"/>
                <w:szCs w:val="16"/>
                <w:u w:val="none"/>
              </w:rPr>
            </w:pP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B8B9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项目总投资</w:t>
            </w:r>
          </w:p>
        </w:tc>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E244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12015.00 </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4CF5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8852.65 </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1025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3162.35 </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2A39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100.0</w:t>
            </w:r>
            <w:r>
              <w:rPr>
                <w:rFonts w:hint="eastAsia" w:cs="仿宋"/>
                <w:i w:val="0"/>
                <w:iCs w:val="0"/>
                <w:color w:val="auto"/>
                <w:kern w:val="0"/>
                <w:sz w:val="16"/>
                <w:szCs w:val="16"/>
                <w:u w:val="none"/>
                <w:lang w:val="en-US" w:eastAsia="zh-CN" w:bidi="ar"/>
              </w:rPr>
              <w:t>0</w:t>
            </w:r>
            <w:r>
              <w:rPr>
                <w:rFonts w:hint="eastAsia" w:ascii="仿宋" w:hAnsi="仿宋" w:eastAsia="仿宋" w:cs="仿宋"/>
                <w:i w:val="0"/>
                <w:iCs w:val="0"/>
                <w:color w:val="auto"/>
                <w:kern w:val="0"/>
                <w:sz w:val="16"/>
                <w:szCs w:val="16"/>
                <w:u w:val="none"/>
                <w:lang w:val="en-US" w:eastAsia="zh-CN" w:bidi="ar"/>
              </w:rPr>
              <w:t>%</w:t>
            </w:r>
          </w:p>
        </w:tc>
      </w:tr>
      <w:tr w14:paraId="3B24D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jc w:val="center"/>
        </w:trPr>
        <w:tc>
          <w:tcPr>
            <w:tcW w:w="89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630B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资金使用计划</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BC5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资本金</w:t>
            </w:r>
          </w:p>
        </w:tc>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8ABF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2515.00 </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B0AE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1852.65 </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DDF2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662.35 </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9BA9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20.93%</w:t>
            </w:r>
          </w:p>
        </w:tc>
      </w:tr>
      <w:tr w14:paraId="303B6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jc w:val="center"/>
        </w:trPr>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C7106">
            <w:pPr>
              <w:jc w:val="center"/>
              <w:rPr>
                <w:rFonts w:hint="eastAsia" w:ascii="仿宋" w:hAnsi="仿宋" w:eastAsia="仿宋" w:cs="仿宋"/>
                <w:i w:val="0"/>
                <w:iCs w:val="0"/>
                <w:color w:val="auto"/>
                <w:sz w:val="16"/>
                <w:szCs w:val="16"/>
                <w:u w:val="none"/>
              </w:rPr>
            </w:pP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E66F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发行债券</w:t>
            </w:r>
          </w:p>
        </w:tc>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F6D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9500.00 </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C93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7000.00 </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28BF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2500.00 </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E4FE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79.07%</w:t>
            </w:r>
          </w:p>
        </w:tc>
      </w:tr>
      <w:tr w14:paraId="6A5C4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jc w:val="center"/>
        </w:trPr>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D9A6C">
            <w:pPr>
              <w:jc w:val="center"/>
              <w:rPr>
                <w:rFonts w:hint="eastAsia" w:ascii="仿宋" w:hAnsi="仿宋" w:eastAsia="仿宋" w:cs="仿宋"/>
                <w:i w:val="0"/>
                <w:iCs w:val="0"/>
                <w:color w:val="auto"/>
                <w:sz w:val="16"/>
                <w:szCs w:val="16"/>
                <w:u w:val="none"/>
              </w:rPr>
            </w:pPr>
          </w:p>
        </w:tc>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6F5E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资金使用合计</w:t>
            </w:r>
          </w:p>
        </w:tc>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61E6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12015.00 </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588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8852.65 </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C13A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 xml:space="preserve">3162.35 </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477B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100.00%</w:t>
            </w:r>
          </w:p>
        </w:tc>
      </w:tr>
    </w:tbl>
    <w:p w14:paraId="714A7F7F">
      <w:pPr>
        <w:spacing w:line="560" w:lineRule="exact"/>
        <w:ind w:firstLine="640"/>
        <w:rPr>
          <w:rFonts w:hint="eastAsia" w:ascii="黑体" w:hAnsi="黑体" w:eastAsia="黑体"/>
          <w:color w:val="auto"/>
          <w:sz w:val="32"/>
          <w:szCs w:val="32"/>
        </w:rPr>
      </w:pPr>
    </w:p>
    <w:p w14:paraId="6799B0DB">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四、项目预期收益、成本及融资平衡情况</w:t>
      </w:r>
    </w:p>
    <w:p w14:paraId="49B2BDB7">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（一）预期收益</w:t>
      </w:r>
    </w:p>
    <w:p w14:paraId="1930BB20">
      <w:pPr>
        <w:spacing w:line="560" w:lineRule="exact"/>
        <w:ind w:firstLine="643"/>
        <w:rPr>
          <w:rFonts w:ascii="仿宋_GB2312" w:hAnsi="Calibri" w:eastAsia="仿宋_GB2312"/>
          <w:b/>
          <w:color w:val="auto"/>
          <w:sz w:val="32"/>
          <w:szCs w:val="32"/>
        </w:rPr>
      </w:pPr>
      <w:r>
        <w:rPr>
          <w:rFonts w:hint="eastAsia" w:ascii="仿宋_GB2312" w:hAnsi="Calibri" w:eastAsia="仿宋_GB2312"/>
          <w:b/>
          <w:color w:val="auto"/>
          <w:sz w:val="32"/>
          <w:szCs w:val="32"/>
        </w:rPr>
        <w:t>1.项目收入</w:t>
      </w:r>
    </w:p>
    <w:p w14:paraId="7CF3AD8F">
      <w:pPr>
        <w:ind w:firstLine="480"/>
        <w:rPr>
          <w:color w:val="auto"/>
        </w:rPr>
      </w:pPr>
      <w:bookmarkStart w:id="1" w:name="_Hlk43423686"/>
      <w:bookmarkStart w:id="2" w:name="_Hlk41910341"/>
      <w:r>
        <w:rPr>
          <w:rFonts w:hint="eastAsia"/>
          <w:color w:val="auto"/>
          <w:lang w:eastAsia="zh-CN"/>
        </w:rPr>
        <w:t>内江国家级高新区产业园区智慧化暨数字化升级项目</w:t>
      </w:r>
      <w:r>
        <w:rPr>
          <w:rFonts w:hint="eastAsia"/>
          <w:color w:val="auto"/>
        </w:rPr>
        <w:t>收入来源主要为项目建成后</w:t>
      </w:r>
      <w:r>
        <w:rPr>
          <w:rFonts w:hint="eastAsia"/>
          <w:color w:val="auto"/>
          <w:lang w:eastAsia="zh-CN"/>
        </w:rPr>
        <w:t>数字化产业孵化培育平台收入、产业发展资源服务收入、创新人才技术平台使用收入</w:t>
      </w:r>
      <w:r>
        <w:rPr>
          <w:rFonts w:hint="eastAsia"/>
          <w:color w:val="auto"/>
        </w:rPr>
        <w:t>。项目运营期内运营收入合计67624.90</w:t>
      </w:r>
      <w:r>
        <w:rPr>
          <w:color w:val="auto"/>
        </w:rPr>
        <w:t>万元，属于专项收入，纳入政府性基金预算管理。项目收入来源有事实依据，整体具有可行性。</w:t>
      </w:r>
    </w:p>
    <w:bookmarkEnd w:id="1"/>
    <w:p w14:paraId="667F4383">
      <w:pPr>
        <w:spacing w:line="560" w:lineRule="exact"/>
        <w:ind w:firstLine="643"/>
        <w:rPr>
          <w:rFonts w:ascii="仿宋_GB2312" w:hAnsi="Calibri" w:eastAsia="仿宋_GB2312"/>
          <w:b/>
          <w:color w:val="auto"/>
          <w:sz w:val="32"/>
          <w:szCs w:val="32"/>
        </w:rPr>
      </w:pPr>
      <w:r>
        <w:rPr>
          <w:rFonts w:hint="eastAsia" w:ascii="仿宋_GB2312" w:hAnsi="Calibri" w:eastAsia="仿宋_GB2312"/>
          <w:b/>
          <w:color w:val="auto"/>
          <w:sz w:val="32"/>
          <w:szCs w:val="32"/>
        </w:rPr>
        <w:t>2.项目成本</w:t>
      </w:r>
    </w:p>
    <w:p w14:paraId="31E2C36D">
      <w:pPr>
        <w:ind w:firstLine="480"/>
        <w:rPr>
          <w:bCs/>
          <w:color w:val="auto"/>
          <w:kern w:val="0"/>
        </w:rPr>
      </w:pPr>
      <w:r>
        <w:rPr>
          <w:rFonts w:hint="eastAsia"/>
          <w:bCs/>
          <w:color w:val="auto"/>
          <w:kern w:val="0"/>
        </w:rPr>
        <w:t>本项目建成后运营期间的成本费用，共计62985.81</w:t>
      </w:r>
      <w:r>
        <w:rPr>
          <w:bCs/>
          <w:color w:val="auto"/>
          <w:kern w:val="0"/>
        </w:rPr>
        <w:t>万元，主要包括动力费、人员工资及福利费、修缮费、</w:t>
      </w:r>
      <w:r>
        <w:rPr>
          <w:rFonts w:hint="eastAsia"/>
          <w:bCs/>
          <w:color w:val="auto"/>
          <w:kern w:val="0"/>
        </w:rPr>
        <w:t>管理费用及营销费用</w:t>
      </w:r>
      <w:r>
        <w:rPr>
          <w:bCs/>
          <w:color w:val="auto"/>
          <w:kern w:val="0"/>
        </w:rPr>
        <w:t>、</w:t>
      </w:r>
      <w:r>
        <w:rPr>
          <w:rFonts w:hint="eastAsia"/>
          <w:color w:val="auto"/>
          <w:lang w:val="en-US" w:eastAsia="zh-CN"/>
        </w:rPr>
        <w:t>设备更新成本（含巡更巡检机器人更换费）、运维及数据采购成本（含服务器运维费、软件升级费、公域产业数据的年度采购费用）、</w:t>
      </w:r>
      <w:r>
        <w:rPr>
          <w:bCs/>
          <w:color w:val="auto"/>
          <w:kern w:val="0"/>
        </w:rPr>
        <w:t>折旧与摊销、相关税费和利息。</w:t>
      </w:r>
    </w:p>
    <w:p w14:paraId="13920F83">
      <w:pPr>
        <w:pStyle w:val="13"/>
        <w:rPr>
          <w:color w:val="auto"/>
        </w:rPr>
      </w:pPr>
    </w:p>
    <w:p w14:paraId="09636B84">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（二）资金测算平衡情况</w:t>
      </w:r>
    </w:p>
    <w:p w14:paraId="333AC15A">
      <w:pPr>
        <w:ind w:firstLine="480"/>
        <w:rPr>
          <w:color w:val="auto"/>
        </w:rPr>
      </w:pPr>
      <w:r>
        <w:rPr>
          <w:rFonts w:hint="eastAsia"/>
          <w:color w:val="auto"/>
          <w:lang w:eastAsia="zh-CN"/>
        </w:rPr>
        <w:t>内江国家级高新区产业园区智慧化暨数字化升级项目</w:t>
      </w:r>
      <w:r>
        <w:rPr>
          <w:rFonts w:hint="eastAsia"/>
          <w:color w:val="auto"/>
        </w:rPr>
        <w:t>采用政府专项债的方式融资，待本项目全部</w:t>
      </w:r>
      <w:r>
        <w:rPr>
          <w:rFonts w:hint="eastAsia"/>
          <w:color w:val="auto"/>
          <w:lang w:eastAsia="zh-CN"/>
        </w:rPr>
        <w:t>9500.00</w:t>
      </w:r>
      <w:r>
        <w:rPr>
          <w:color w:val="auto"/>
        </w:rPr>
        <w:t>万元专项债券到期时，在偿还当年到期的专项债券本息后，将仍有</w:t>
      </w:r>
      <w:r>
        <w:rPr>
          <w:rFonts w:hint="eastAsia"/>
          <w:color w:val="auto"/>
          <w:lang w:eastAsia="zh-CN"/>
        </w:rPr>
        <w:t>1614.11</w:t>
      </w:r>
      <w:r>
        <w:rPr>
          <w:color w:val="auto"/>
        </w:rPr>
        <w:t>万元的累计现金结余，本期债券本息的覆盖率为</w:t>
      </w:r>
      <w:r>
        <w:rPr>
          <w:rFonts w:hint="eastAsia"/>
          <w:color w:val="auto"/>
          <w:lang w:eastAsia="zh-CN"/>
        </w:rPr>
        <w:t>1.07</w:t>
      </w:r>
      <w:r>
        <w:rPr>
          <w:color w:val="auto"/>
        </w:rPr>
        <w:t>，预期实现的运营净收入能够合理保障偿还融资本金和利息,能够实现项目收益和融资自求平衡。</w:t>
      </w:r>
    </w:p>
    <w:p w14:paraId="34D2F765">
      <w:pPr>
        <w:ind w:firstLine="480"/>
        <w:rPr>
          <w:color w:val="auto"/>
        </w:rPr>
      </w:pPr>
      <w:r>
        <w:rPr>
          <w:rFonts w:hint="eastAsia"/>
          <w:color w:val="auto"/>
        </w:rPr>
        <w:t>项目资金测算平衡情况如下表所示：</w:t>
      </w:r>
    </w:p>
    <w:p w14:paraId="67B1EEE2">
      <w:pPr>
        <w:ind w:firstLine="480"/>
        <w:rPr>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13CD353A">
      <w:pPr>
        <w:pStyle w:val="29"/>
        <w:rPr>
          <w:color w:val="auto"/>
        </w:rPr>
      </w:pPr>
      <w:r>
        <w:rPr>
          <w:color w:val="auto"/>
        </w:rPr>
        <w:t>项目专项债券</w:t>
      </w:r>
      <w:r>
        <w:rPr>
          <w:rFonts w:hint="eastAsia"/>
          <w:color w:val="auto"/>
          <w:lang w:val="en-US" w:eastAsia="zh-Hans"/>
        </w:rPr>
        <w:t>还本付息表</w:t>
      </w:r>
      <w:r>
        <w:rPr>
          <w:rFonts w:hint="eastAsia"/>
          <w:color w:val="auto"/>
        </w:rPr>
        <w:t>（金额单位：人民币万元）</w:t>
      </w:r>
    </w:p>
    <w:tbl>
      <w:tblPr>
        <w:tblStyle w:val="14"/>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72"/>
        <w:gridCol w:w="2539"/>
        <w:gridCol w:w="930"/>
        <w:gridCol w:w="815"/>
        <w:gridCol w:w="818"/>
        <w:gridCol w:w="816"/>
        <w:gridCol w:w="816"/>
        <w:gridCol w:w="816"/>
        <w:gridCol w:w="816"/>
        <w:gridCol w:w="816"/>
        <w:gridCol w:w="816"/>
        <w:gridCol w:w="816"/>
        <w:gridCol w:w="816"/>
        <w:gridCol w:w="816"/>
        <w:gridCol w:w="816"/>
        <w:gridCol w:w="816"/>
        <w:gridCol w:w="850"/>
      </w:tblGrid>
      <w:tr w14:paraId="6B5A1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8" w:hRule="atLeast"/>
          <w:jc w:val="center"/>
        </w:trPr>
        <w:tc>
          <w:tcPr>
            <w:tcW w:w="15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9AEA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序号</w:t>
            </w:r>
          </w:p>
        </w:tc>
        <w:tc>
          <w:tcPr>
            <w:tcW w:w="8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21CF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项目</w:t>
            </w:r>
          </w:p>
        </w:tc>
        <w:tc>
          <w:tcPr>
            <w:tcW w:w="2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64FAB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合计</w:t>
            </w:r>
          </w:p>
        </w:tc>
        <w:tc>
          <w:tcPr>
            <w:tcW w:w="5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F995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建设期</w:t>
            </w:r>
          </w:p>
        </w:tc>
        <w:tc>
          <w:tcPr>
            <w:tcW w:w="3155" w:type="pct"/>
            <w:gridSpan w:val="12"/>
            <w:tcBorders>
              <w:top w:val="single" w:color="000000" w:sz="4" w:space="0"/>
              <w:left w:val="nil"/>
              <w:bottom w:val="single" w:color="000000" w:sz="4" w:space="0"/>
              <w:right w:val="nil"/>
            </w:tcBorders>
            <w:shd w:val="clear" w:color="auto" w:fill="auto"/>
            <w:vAlign w:val="center"/>
          </w:tcPr>
          <w:p w14:paraId="687C9C29">
            <w:pPr>
              <w:jc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运营期（年）</w:t>
            </w:r>
          </w:p>
        </w:tc>
      </w:tr>
      <w:tr w14:paraId="5257D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2E425">
            <w:pPr>
              <w:jc w:val="center"/>
              <w:rPr>
                <w:rFonts w:hint="eastAsia" w:ascii="仿宋" w:hAnsi="仿宋" w:eastAsia="仿宋" w:cs="仿宋"/>
                <w:b w:val="0"/>
                <w:bCs w:val="0"/>
                <w:i w:val="0"/>
                <w:iCs w:val="0"/>
                <w:color w:val="auto"/>
                <w:sz w:val="16"/>
                <w:szCs w:val="16"/>
                <w:u w:val="none"/>
              </w:rPr>
            </w:pPr>
          </w:p>
        </w:tc>
        <w:tc>
          <w:tcPr>
            <w:tcW w:w="8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24919">
            <w:pPr>
              <w:jc w:val="center"/>
              <w:rPr>
                <w:rFonts w:hint="eastAsia" w:ascii="仿宋" w:hAnsi="仿宋" w:eastAsia="仿宋" w:cs="仿宋"/>
                <w:b w:val="0"/>
                <w:bCs w:val="0"/>
                <w:i w:val="0"/>
                <w:iCs w:val="0"/>
                <w:color w:val="auto"/>
                <w:sz w:val="16"/>
                <w:szCs w:val="16"/>
                <w:u w:val="none"/>
              </w:rPr>
            </w:pPr>
          </w:p>
        </w:tc>
        <w:tc>
          <w:tcPr>
            <w:tcW w:w="2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DDF9C">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3349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第1年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64FF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第2年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094D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第3年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5429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第4年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E5D5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第5年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C35A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第6年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F680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第7年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D78D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第8年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6E10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第9年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78A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第10年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3E01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第11年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EB2D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第12年</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3B3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第13年</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A9BA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第14年</w:t>
            </w:r>
          </w:p>
        </w:tc>
      </w:tr>
      <w:tr w14:paraId="40A23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9300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一</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7456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发行债券（利率）</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0ACE6">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365B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72B2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310A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599F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B0AC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9BA2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7480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DDF2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7755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9AFC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D1D2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FC1A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BC83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6785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r>
      <w:tr w14:paraId="0F1DC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1C34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871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期初本金金额</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40D26">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CF28B">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1E9C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D16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A862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3568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713E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1ADD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B13F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8BA5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BC06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103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A7F4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0DAE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16B0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r>
      <w:tr w14:paraId="6B2C0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CD91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A1AD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本年新增本金</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FF0C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85FF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3661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83944">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65A69">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667A6">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70C73">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04503">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83680">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456DB">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CF8C2">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4D477">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0D176">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361F9">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C7357">
            <w:pPr>
              <w:jc w:val="center"/>
              <w:rPr>
                <w:rFonts w:hint="eastAsia" w:ascii="仿宋" w:hAnsi="仿宋" w:eastAsia="仿宋" w:cs="仿宋"/>
                <w:i w:val="0"/>
                <w:iCs w:val="0"/>
                <w:color w:val="auto"/>
                <w:sz w:val="16"/>
                <w:szCs w:val="16"/>
                <w:u w:val="none"/>
              </w:rPr>
            </w:pPr>
          </w:p>
        </w:tc>
      </w:tr>
      <w:tr w14:paraId="3EBCF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107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CFC1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本年应计利息</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BE1E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7980.00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CA69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196.00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4724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7D91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9F9C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E162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F9FE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5A3F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E8B4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64CA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A0CB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294E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8617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99C5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66D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r>
      <w:tr w14:paraId="762F6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9BB56">
            <w:pPr>
              <w:jc w:val="center"/>
              <w:rPr>
                <w:rFonts w:hint="eastAsia" w:ascii="仿宋" w:hAnsi="仿宋" w:eastAsia="仿宋" w:cs="仿宋"/>
                <w:i w:val="0"/>
                <w:iCs w:val="0"/>
                <w:color w:val="auto"/>
                <w:sz w:val="16"/>
                <w:szCs w:val="16"/>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ACB5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其中：计入建设期利息</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6033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462.00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1056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196.00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CEFE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AEFCF">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2A6E7">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7CAC7">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E751F">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F2D05">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BA458">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9CAE1">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51329">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8C460">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6E6E4">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B3F59">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EA2A6">
            <w:pPr>
              <w:jc w:val="center"/>
              <w:rPr>
                <w:rFonts w:hint="eastAsia" w:ascii="仿宋" w:hAnsi="仿宋" w:eastAsia="仿宋" w:cs="仿宋"/>
                <w:i w:val="0"/>
                <w:iCs w:val="0"/>
                <w:color w:val="auto"/>
                <w:sz w:val="16"/>
                <w:szCs w:val="16"/>
                <w:u w:val="none"/>
              </w:rPr>
            </w:pPr>
          </w:p>
        </w:tc>
      </w:tr>
      <w:tr w14:paraId="1CD88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E3917">
            <w:pPr>
              <w:jc w:val="center"/>
              <w:rPr>
                <w:rFonts w:hint="eastAsia" w:ascii="仿宋" w:hAnsi="仿宋" w:eastAsia="仿宋" w:cs="仿宋"/>
                <w:i w:val="0"/>
                <w:iCs w:val="0"/>
                <w:color w:val="auto"/>
                <w:sz w:val="16"/>
                <w:szCs w:val="16"/>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381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计入还款期利息</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50DD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7518.00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AEEBF">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B2CF3">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4529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2360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D015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1BA2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AF5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ED4D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E98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859B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73F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2CB0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E801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B60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r>
      <w:tr w14:paraId="0FE3F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835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40BC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本年还本付息</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5FC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17480.00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88F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196.00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F65E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8F1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F68D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F55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A28B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86D4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9333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28D7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C220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B007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7CD7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5A36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6C1C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r>
      <w:tr w14:paraId="152DF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7F87F">
            <w:pPr>
              <w:jc w:val="center"/>
              <w:rPr>
                <w:rFonts w:hint="eastAsia" w:ascii="仿宋" w:hAnsi="仿宋" w:eastAsia="仿宋" w:cs="仿宋"/>
                <w:i w:val="0"/>
                <w:iCs w:val="0"/>
                <w:color w:val="auto"/>
                <w:sz w:val="16"/>
                <w:szCs w:val="16"/>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ED4A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还本</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78B7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BCF0B">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D72D">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E9C3">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A18FE">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4355A">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F0165">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73903">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30CF5">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8CFA3">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72DA7">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2A321">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DD44F">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AA047">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B42DE">
            <w:pPr>
              <w:jc w:val="center"/>
              <w:rPr>
                <w:rFonts w:hint="eastAsia" w:ascii="仿宋" w:hAnsi="仿宋" w:eastAsia="仿宋" w:cs="仿宋"/>
                <w:i w:val="0"/>
                <w:iCs w:val="0"/>
                <w:color w:val="auto"/>
                <w:sz w:val="16"/>
                <w:szCs w:val="16"/>
                <w:u w:val="none"/>
              </w:rPr>
            </w:pPr>
          </w:p>
        </w:tc>
      </w:tr>
      <w:tr w14:paraId="13093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3DCA">
            <w:pPr>
              <w:jc w:val="center"/>
              <w:rPr>
                <w:rFonts w:hint="eastAsia" w:ascii="仿宋" w:hAnsi="仿宋" w:eastAsia="仿宋" w:cs="仿宋"/>
                <w:i w:val="0"/>
                <w:iCs w:val="0"/>
                <w:color w:val="auto"/>
                <w:sz w:val="16"/>
                <w:szCs w:val="16"/>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F915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付息</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59C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7980.00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8A6A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196.00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CA29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AFAF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7DA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77A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3E1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92F4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1A9C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B94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256C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4D34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FEBF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9782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BC8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r>
      <w:tr w14:paraId="389A4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0C64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8775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期末本金金额</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B3066">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F2A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E9A5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AD8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2D6C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FD77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1683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583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5C65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7E8B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22F8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A01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AE3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EACB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0099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r>
      <w:tr w14:paraId="755CB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84ED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二</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FBF8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还款资金来源及还款分析</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B018F">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71C84">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9B647">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719BF">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0E881">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FACE4">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056DD">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F5CC7">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70ACE">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F9708">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AA2F3">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EA3C7">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AF668">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04DB6">
            <w:pPr>
              <w:jc w:val="center"/>
              <w:rPr>
                <w:rFonts w:hint="eastAsia" w:ascii="仿宋" w:hAnsi="仿宋" w:eastAsia="仿宋" w:cs="仿宋"/>
                <w:b w:val="0"/>
                <w:bCs w:val="0"/>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39B75">
            <w:pPr>
              <w:jc w:val="center"/>
              <w:rPr>
                <w:rFonts w:hint="eastAsia" w:ascii="仿宋" w:hAnsi="仿宋" w:eastAsia="仿宋" w:cs="仿宋"/>
                <w:b w:val="0"/>
                <w:bCs w:val="0"/>
                <w:i w:val="0"/>
                <w:iCs w:val="0"/>
                <w:color w:val="auto"/>
                <w:sz w:val="16"/>
                <w:szCs w:val="16"/>
                <w:u w:val="none"/>
              </w:rPr>
            </w:pPr>
          </w:p>
        </w:tc>
      </w:tr>
      <w:tr w14:paraId="129BC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30FD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A320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还款资金来源</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6A02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18632.11</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C9DD7">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D5DCA">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8A1B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654.07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D296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781.61</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A6CF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773.78</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6151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765.73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325E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757.32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742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748.68</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2789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739.76</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C556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730.61</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D272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721.22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2D5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711.56</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4F3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701.66</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6814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691.40</w:t>
            </w:r>
          </w:p>
        </w:tc>
      </w:tr>
      <w:tr w14:paraId="63DD3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D23F6">
            <w:pPr>
              <w:jc w:val="center"/>
              <w:rPr>
                <w:rFonts w:hint="eastAsia" w:ascii="仿宋" w:hAnsi="仿宋" w:eastAsia="仿宋" w:cs="仿宋"/>
                <w:b w:val="0"/>
                <w:bCs w:val="0"/>
                <w:i w:val="0"/>
                <w:iCs w:val="0"/>
                <w:color w:val="auto"/>
                <w:sz w:val="16"/>
                <w:szCs w:val="16"/>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1564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当年净利润</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9B5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3479.28</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09002">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8FF1E">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6443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124.80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7F1B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252.34</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1C9D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244.51</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C0D3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236.46</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A5E1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228.05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D7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219.41</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DF8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210.49</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D27B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201.34</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D01E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191.95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D596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182.29</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D3C6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172.39</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E5D9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162.13</w:t>
            </w:r>
          </w:p>
        </w:tc>
      </w:tr>
      <w:tr w14:paraId="4D731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D2D3B">
            <w:pPr>
              <w:jc w:val="center"/>
              <w:rPr>
                <w:rFonts w:hint="eastAsia" w:ascii="仿宋" w:hAnsi="仿宋" w:eastAsia="仿宋" w:cs="仿宋"/>
                <w:b w:val="0"/>
                <w:bCs w:val="0"/>
                <w:i w:val="0"/>
                <w:iCs w:val="0"/>
                <w:color w:val="auto"/>
                <w:sz w:val="16"/>
                <w:szCs w:val="16"/>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A65D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债券财务费用</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C29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7518.00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B2406">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00A7C">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1845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D0AB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AB43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3FEF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FC31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EA8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F64F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CD3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3330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5BE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F058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B1BF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r>
      <w:tr w14:paraId="3818C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2BF51">
            <w:pPr>
              <w:jc w:val="center"/>
              <w:rPr>
                <w:rFonts w:hint="eastAsia" w:ascii="仿宋" w:hAnsi="仿宋" w:eastAsia="仿宋" w:cs="仿宋"/>
                <w:b w:val="0"/>
                <w:bCs w:val="0"/>
                <w:i w:val="0"/>
                <w:iCs w:val="0"/>
                <w:color w:val="auto"/>
                <w:sz w:val="16"/>
                <w:szCs w:val="16"/>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A862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折旧及摊销</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3019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7634.83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B5D00">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FF3E7">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E523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D41A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9279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B048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F00B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2580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022C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DC8A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22A9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CA2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593B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2230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r>
      <w:tr w14:paraId="793E2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5C8C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w:t>
            </w:r>
          </w:p>
        </w:tc>
        <w:tc>
          <w:tcPr>
            <w:tcW w:w="816" w:type="pct"/>
            <w:tcBorders>
              <w:top w:val="single" w:color="000000" w:sz="4" w:space="0"/>
              <w:left w:val="single" w:color="000000" w:sz="4" w:space="0"/>
              <w:bottom w:val="single" w:color="000000" w:sz="4" w:space="0"/>
              <w:right w:val="nil"/>
            </w:tcBorders>
            <w:shd w:val="clear" w:color="auto" w:fill="auto"/>
            <w:vAlign w:val="center"/>
          </w:tcPr>
          <w:p w14:paraId="0A7E2C2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本息偿还分析</w:t>
            </w:r>
          </w:p>
        </w:tc>
        <w:tc>
          <w:tcPr>
            <w:tcW w:w="299" w:type="pct"/>
            <w:tcBorders>
              <w:top w:val="single" w:color="000000" w:sz="4" w:space="0"/>
              <w:left w:val="nil"/>
              <w:bottom w:val="single" w:color="000000" w:sz="4" w:space="0"/>
              <w:right w:val="nil"/>
            </w:tcBorders>
            <w:shd w:val="clear" w:color="auto" w:fill="auto"/>
            <w:vAlign w:val="center"/>
          </w:tcPr>
          <w:p w14:paraId="4FA3424A">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63C1D073">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7867CADC">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7EE0FEB6">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44E50415">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0424D284">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568DD12E">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184AB194">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64877798">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3C7E1279">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643081E5">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3808F3DD">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402470D2">
            <w:pPr>
              <w:jc w:val="center"/>
              <w:rPr>
                <w:rFonts w:hint="eastAsia" w:ascii="仿宋" w:hAnsi="仿宋" w:eastAsia="仿宋" w:cs="仿宋"/>
                <w:b w:val="0"/>
                <w:bCs w:val="0"/>
                <w:i w:val="0"/>
                <w:iCs w:val="0"/>
                <w:color w:val="auto"/>
                <w:sz w:val="16"/>
                <w:szCs w:val="16"/>
                <w:u w:val="none"/>
              </w:rPr>
            </w:pPr>
          </w:p>
        </w:tc>
        <w:tc>
          <w:tcPr>
            <w:tcW w:w="262" w:type="pct"/>
            <w:tcBorders>
              <w:top w:val="single" w:color="000000" w:sz="4" w:space="0"/>
              <w:left w:val="nil"/>
              <w:bottom w:val="single" w:color="000000" w:sz="4" w:space="0"/>
              <w:right w:val="nil"/>
            </w:tcBorders>
            <w:shd w:val="clear" w:color="auto" w:fill="auto"/>
            <w:vAlign w:val="center"/>
          </w:tcPr>
          <w:p w14:paraId="3A8EEBCE">
            <w:pPr>
              <w:jc w:val="center"/>
              <w:rPr>
                <w:rFonts w:hint="eastAsia" w:ascii="仿宋" w:hAnsi="仿宋" w:eastAsia="仿宋" w:cs="仿宋"/>
                <w:b w:val="0"/>
                <w:bCs w:val="0"/>
                <w:i w:val="0"/>
                <w:iCs w:val="0"/>
                <w:color w:val="auto"/>
                <w:sz w:val="16"/>
                <w:szCs w:val="16"/>
                <w:u w:val="none"/>
              </w:rPr>
            </w:pPr>
          </w:p>
        </w:tc>
        <w:tc>
          <w:tcPr>
            <w:tcW w:w="264" w:type="pct"/>
            <w:tcBorders>
              <w:top w:val="single" w:color="000000" w:sz="4" w:space="0"/>
              <w:left w:val="nil"/>
              <w:bottom w:val="single" w:color="000000" w:sz="4" w:space="0"/>
              <w:right w:val="nil"/>
            </w:tcBorders>
            <w:shd w:val="clear" w:color="auto" w:fill="auto"/>
            <w:vAlign w:val="center"/>
          </w:tcPr>
          <w:p w14:paraId="1315841F">
            <w:pPr>
              <w:jc w:val="center"/>
              <w:rPr>
                <w:rFonts w:hint="eastAsia" w:ascii="仿宋" w:hAnsi="仿宋" w:eastAsia="仿宋" w:cs="仿宋"/>
                <w:b w:val="0"/>
                <w:bCs w:val="0"/>
                <w:i w:val="0"/>
                <w:iCs w:val="0"/>
                <w:color w:val="auto"/>
                <w:sz w:val="16"/>
                <w:szCs w:val="16"/>
                <w:u w:val="none"/>
              </w:rPr>
            </w:pPr>
          </w:p>
        </w:tc>
      </w:tr>
      <w:tr w14:paraId="3E382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3CEA0">
            <w:pPr>
              <w:jc w:val="center"/>
              <w:rPr>
                <w:rFonts w:hint="eastAsia" w:ascii="仿宋" w:hAnsi="仿宋" w:eastAsia="仿宋" w:cs="仿宋"/>
                <w:i w:val="0"/>
                <w:iCs w:val="0"/>
                <w:color w:val="auto"/>
                <w:sz w:val="16"/>
                <w:szCs w:val="16"/>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7AF4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本息覆盖倍数</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12A2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1.07</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6B52C">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C56A0">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928BE">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7EFEB">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58CA7">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1D9F4">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7EA2A">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871E1">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6D5BD">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8B4D8">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EA902">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60E9A">
            <w:pPr>
              <w:jc w:val="center"/>
              <w:rPr>
                <w:rFonts w:hint="eastAsia" w:ascii="仿宋" w:hAnsi="仿宋" w:eastAsia="仿宋" w:cs="仿宋"/>
                <w:i w:val="0"/>
                <w:iCs w:val="0"/>
                <w:color w:val="auto"/>
                <w:sz w:val="16"/>
                <w:szCs w:val="16"/>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28313">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B82CB">
            <w:pPr>
              <w:jc w:val="center"/>
              <w:rPr>
                <w:rFonts w:hint="eastAsia" w:ascii="仿宋" w:hAnsi="仿宋" w:eastAsia="仿宋" w:cs="仿宋"/>
                <w:i w:val="0"/>
                <w:iCs w:val="0"/>
                <w:color w:val="auto"/>
                <w:sz w:val="16"/>
                <w:szCs w:val="16"/>
                <w:u w:val="none"/>
              </w:rPr>
            </w:pPr>
          </w:p>
        </w:tc>
      </w:tr>
    </w:tbl>
    <w:p w14:paraId="789F9183">
      <w:pPr>
        <w:ind w:firstLine="0" w:firstLineChars="0"/>
        <w:rPr>
          <w:rFonts w:hint="eastAsia"/>
          <w:color w:val="auto"/>
          <w:lang w:val="en-US" w:eastAsia="zh-CN"/>
        </w:rPr>
      </w:pPr>
      <w:r>
        <w:rPr>
          <w:rFonts w:hint="eastAsia"/>
          <w:color w:val="auto"/>
          <w:lang w:val="en-US" w:eastAsia="zh-CN"/>
        </w:rPr>
        <w:t>续表：</w:t>
      </w:r>
    </w:p>
    <w:tbl>
      <w:tblPr>
        <w:tblStyle w:val="14"/>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9"/>
        <w:gridCol w:w="2428"/>
        <w:gridCol w:w="779"/>
        <w:gridCol w:w="780"/>
        <w:gridCol w:w="780"/>
        <w:gridCol w:w="780"/>
        <w:gridCol w:w="780"/>
        <w:gridCol w:w="780"/>
        <w:gridCol w:w="780"/>
        <w:gridCol w:w="780"/>
        <w:gridCol w:w="780"/>
        <w:gridCol w:w="780"/>
        <w:gridCol w:w="780"/>
        <w:gridCol w:w="780"/>
        <w:gridCol w:w="780"/>
        <w:gridCol w:w="780"/>
        <w:gridCol w:w="780"/>
        <w:gridCol w:w="829"/>
      </w:tblGrid>
      <w:tr w14:paraId="4470A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8" w:hRule="atLeast"/>
          <w:jc w:val="center"/>
        </w:trPr>
        <w:tc>
          <w:tcPr>
            <w:tcW w:w="1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F883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序号</w:t>
            </w:r>
          </w:p>
        </w:tc>
        <w:tc>
          <w:tcPr>
            <w:tcW w:w="7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C13A7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项目</w:t>
            </w:r>
          </w:p>
        </w:tc>
        <w:tc>
          <w:tcPr>
            <w:tcW w:w="4064" w:type="pct"/>
            <w:gridSpan w:val="16"/>
            <w:tcBorders>
              <w:top w:val="single" w:color="000000" w:sz="4" w:space="0"/>
              <w:left w:val="nil"/>
              <w:bottom w:val="single" w:color="000000" w:sz="4" w:space="0"/>
              <w:right w:val="single" w:color="000000" w:sz="4" w:space="0"/>
            </w:tcBorders>
            <w:shd w:val="clear" w:color="auto" w:fill="auto"/>
            <w:vAlign w:val="center"/>
          </w:tcPr>
          <w:p w14:paraId="231507FC">
            <w:pPr>
              <w:jc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运营期（年）</w:t>
            </w:r>
          </w:p>
        </w:tc>
      </w:tr>
      <w:tr w14:paraId="10A7C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31EAB">
            <w:pPr>
              <w:jc w:val="center"/>
              <w:rPr>
                <w:rFonts w:hint="eastAsia" w:ascii="仿宋" w:hAnsi="仿宋" w:eastAsia="仿宋" w:cs="仿宋"/>
                <w:b w:val="0"/>
                <w:bCs w:val="0"/>
                <w:i w:val="0"/>
                <w:iCs w:val="0"/>
                <w:color w:val="auto"/>
                <w:sz w:val="16"/>
                <w:szCs w:val="16"/>
                <w:u w:val="none"/>
              </w:rPr>
            </w:pPr>
          </w:p>
        </w:tc>
        <w:tc>
          <w:tcPr>
            <w:tcW w:w="7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AF377">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41DC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第15年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B591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第16年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4B40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第17年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ED27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第18年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63E8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第19年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0B1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第20年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9EE2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第21年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8348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第22年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99EC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第23年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455E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第24年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FE82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第25年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2B68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第26年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03D6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第27年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4AA7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第28年</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938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第29年</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1AC7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第30年</w:t>
            </w:r>
          </w:p>
        </w:tc>
      </w:tr>
      <w:tr w14:paraId="2E492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8D79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一</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736B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发行债券（利率）</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21A7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CA25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89EF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68D1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F6B3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3820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159A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BBDD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90E4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DC37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0B6B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E62F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9CAB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5AC8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FE57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162A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r>
      <w:tr w14:paraId="2D4A3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F635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ED37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期初本金金额</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FFC0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B2DE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9ECA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2FD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4A46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246B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595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0E0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D582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A1FA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B3D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D244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8352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65B7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DA0C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A843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w:t>
            </w:r>
          </w:p>
        </w:tc>
      </w:tr>
      <w:tr w14:paraId="162EC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AAF5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6D2E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本年新增本金</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D7C8C">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A0A0">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C7892">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A48AE">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A70F3">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D69C0">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1B320">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0FF04">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4CC31">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BE936">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61A25">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E6661">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CC95E">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6A6A7">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28FB1">
            <w:pPr>
              <w:jc w:val="center"/>
              <w:rPr>
                <w:rFonts w:hint="eastAsia" w:ascii="仿宋" w:hAnsi="仿宋" w:eastAsia="仿宋" w:cs="仿宋"/>
                <w:i w:val="0"/>
                <w:iCs w:val="0"/>
                <w:color w:val="auto"/>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28F50">
            <w:pPr>
              <w:jc w:val="center"/>
              <w:rPr>
                <w:rFonts w:hint="eastAsia" w:ascii="仿宋" w:hAnsi="仿宋" w:eastAsia="仿宋" w:cs="仿宋"/>
                <w:i w:val="0"/>
                <w:iCs w:val="0"/>
                <w:color w:val="auto"/>
                <w:sz w:val="16"/>
                <w:szCs w:val="16"/>
                <w:u w:val="none"/>
              </w:rPr>
            </w:pPr>
          </w:p>
        </w:tc>
      </w:tr>
      <w:tr w14:paraId="5ACCE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21FC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191E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本年应计利息</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F5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C109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7D4E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4B02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F652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4F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B419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02BE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7D9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DF5D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76CB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B077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2304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ED5C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96F7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BCE8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w:t>
            </w:r>
          </w:p>
        </w:tc>
      </w:tr>
      <w:tr w14:paraId="65F8B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8A168">
            <w:pPr>
              <w:jc w:val="center"/>
              <w:rPr>
                <w:rFonts w:hint="eastAsia" w:ascii="仿宋" w:hAnsi="仿宋" w:eastAsia="仿宋" w:cs="仿宋"/>
                <w:i w:val="0"/>
                <w:iCs w:val="0"/>
                <w:color w:val="auto"/>
                <w:sz w:val="16"/>
                <w:szCs w:val="16"/>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56F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其中：计入建设期利息</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1BC86">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C1EBA">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32291">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CB726">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0A0B3">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DA4A9">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93EFA">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A50C8">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3D0B0">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CA2CD">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0BBC8">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36036">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4BAEF">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080B0">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65E31">
            <w:pPr>
              <w:jc w:val="center"/>
              <w:rPr>
                <w:rFonts w:hint="eastAsia" w:ascii="仿宋" w:hAnsi="仿宋" w:eastAsia="仿宋" w:cs="仿宋"/>
                <w:i w:val="0"/>
                <w:iCs w:val="0"/>
                <w:color w:val="auto"/>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CDBA">
            <w:pPr>
              <w:jc w:val="center"/>
              <w:rPr>
                <w:rFonts w:hint="eastAsia" w:ascii="仿宋" w:hAnsi="仿宋" w:eastAsia="仿宋" w:cs="仿宋"/>
                <w:i w:val="0"/>
                <w:iCs w:val="0"/>
                <w:color w:val="auto"/>
                <w:sz w:val="16"/>
                <w:szCs w:val="16"/>
                <w:u w:val="none"/>
              </w:rPr>
            </w:pPr>
          </w:p>
        </w:tc>
      </w:tr>
      <w:tr w14:paraId="63BAB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D8AE6">
            <w:pPr>
              <w:jc w:val="center"/>
              <w:rPr>
                <w:rFonts w:hint="eastAsia" w:ascii="仿宋" w:hAnsi="仿宋" w:eastAsia="仿宋" w:cs="仿宋"/>
                <w:i w:val="0"/>
                <w:iCs w:val="0"/>
                <w:color w:val="auto"/>
                <w:sz w:val="16"/>
                <w:szCs w:val="16"/>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94CD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计入还款期利息</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1E8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7C38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73C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B036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9B5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EB96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6487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6653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AEA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04B3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7EB3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E544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BABF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ADF7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64D5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A9F5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w:t>
            </w:r>
          </w:p>
        </w:tc>
      </w:tr>
      <w:tr w14:paraId="19FA3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57D4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1FD5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本年还本付息</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5B75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906B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8C51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119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CE5F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ED28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F3D3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AED1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4394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CBC3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E25F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AB4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ED2E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CE45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4CC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7266.00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AF36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2570.00</w:t>
            </w:r>
          </w:p>
        </w:tc>
      </w:tr>
      <w:tr w14:paraId="05AA0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56FC9">
            <w:pPr>
              <w:jc w:val="center"/>
              <w:rPr>
                <w:rFonts w:hint="eastAsia" w:ascii="仿宋" w:hAnsi="仿宋" w:eastAsia="仿宋" w:cs="仿宋"/>
                <w:i w:val="0"/>
                <w:iCs w:val="0"/>
                <w:color w:val="auto"/>
                <w:sz w:val="16"/>
                <w:szCs w:val="16"/>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0F15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还本</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47E27">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FCFD0">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D9B08">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09D2A">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1069A">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3623C">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B661">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1EE9B">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8CDB5">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9C0DB">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31DDD">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CDDF">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41903">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9C1FD">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0BDB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752A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w:t>
            </w:r>
          </w:p>
        </w:tc>
      </w:tr>
      <w:tr w14:paraId="5544D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F6380">
            <w:pPr>
              <w:jc w:val="center"/>
              <w:rPr>
                <w:rFonts w:hint="eastAsia" w:ascii="仿宋" w:hAnsi="仿宋" w:eastAsia="仿宋" w:cs="仿宋"/>
                <w:i w:val="0"/>
                <w:iCs w:val="0"/>
                <w:color w:val="auto"/>
                <w:sz w:val="16"/>
                <w:szCs w:val="16"/>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3E0B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付息</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BC20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E14D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BBF3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5D86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87A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9895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19BF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B45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03E7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A8D6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B8B1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69C5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D2D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B01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8098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D825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w:t>
            </w:r>
          </w:p>
        </w:tc>
      </w:tr>
      <w:tr w14:paraId="39A3D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2A34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FFCA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期末本金金额</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4068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F262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B0EB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2D2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A4E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BF6E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C59E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3B4E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2B63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D3F7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E0F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1D8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365E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3FA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EB3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DB0C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265B5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B00F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二</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E10A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还款资金来源及还款分析</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5DA57">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1161E">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0B1A4">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77ACE">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C8EA7">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43EB4">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6FA34">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B87BC">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7A4C0">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A0EB0">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99D24">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04B72">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FED89">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1D9C1">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69597">
            <w:pPr>
              <w:jc w:val="center"/>
              <w:rPr>
                <w:rFonts w:hint="eastAsia" w:ascii="仿宋" w:hAnsi="仿宋" w:eastAsia="仿宋" w:cs="仿宋"/>
                <w:b w:val="0"/>
                <w:bCs w:val="0"/>
                <w:i w:val="0"/>
                <w:iCs w:val="0"/>
                <w:color w:val="auto"/>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91D94">
            <w:pPr>
              <w:jc w:val="center"/>
              <w:rPr>
                <w:rFonts w:hint="eastAsia" w:ascii="仿宋" w:hAnsi="仿宋" w:eastAsia="仿宋" w:cs="仿宋"/>
                <w:b w:val="0"/>
                <w:bCs w:val="0"/>
                <w:i w:val="0"/>
                <w:iCs w:val="0"/>
                <w:color w:val="auto"/>
                <w:sz w:val="16"/>
                <w:szCs w:val="16"/>
                <w:u w:val="none"/>
              </w:rPr>
            </w:pPr>
          </w:p>
        </w:tc>
      </w:tr>
      <w:tr w14:paraId="59B78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7331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A085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还款资金来源</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3F79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680.87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4AD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669.99</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796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658.83</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EA05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647.32</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21B8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635.45</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1F16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623.20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2522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610.55</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F71E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597.54</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639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584.18</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1EE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570.32</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211A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556.10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2328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541.48</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D993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525.44</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E8F0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504.80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E214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483.38</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B51F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447.94</w:t>
            </w:r>
          </w:p>
        </w:tc>
      </w:tr>
      <w:tr w14:paraId="31DCC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51355">
            <w:pPr>
              <w:jc w:val="center"/>
              <w:rPr>
                <w:rFonts w:hint="eastAsia" w:ascii="仿宋" w:hAnsi="仿宋" w:eastAsia="仿宋" w:cs="仿宋"/>
                <w:b w:val="0"/>
                <w:bCs w:val="0"/>
                <w:i w:val="0"/>
                <w:iCs w:val="0"/>
                <w:color w:val="auto"/>
                <w:sz w:val="16"/>
                <w:szCs w:val="16"/>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D10D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当年净利润</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1F8D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151.60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F5EE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140.72</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E247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129.56</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4B9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118.05</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032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106.18</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8F9E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93.93</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8F74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81.28</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4A8A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68.27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C91E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54.91</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E4D9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41.05</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DF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26.83</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C8A4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12.21</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2BC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-3.83</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050C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-24.47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D917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-45.89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C907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114.67</w:t>
            </w:r>
          </w:p>
        </w:tc>
      </w:tr>
      <w:tr w14:paraId="08021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95372">
            <w:pPr>
              <w:jc w:val="center"/>
              <w:rPr>
                <w:rFonts w:hint="eastAsia" w:ascii="仿宋" w:hAnsi="仿宋" w:eastAsia="仿宋" w:cs="仿宋"/>
                <w:b w:val="0"/>
                <w:bCs w:val="0"/>
                <w:i w:val="0"/>
                <w:iCs w:val="0"/>
                <w:color w:val="auto"/>
                <w:sz w:val="16"/>
                <w:szCs w:val="16"/>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0025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债券财务费用</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FAA7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F926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D40A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2BB8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95C5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54E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3AC3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91FC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FE9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5516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2831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2F4C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3754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E7F7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40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667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w:t>
            </w:r>
          </w:p>
        </w:tc>
      </w:tr>
      <w:tr w14:paraId="3C70F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66C0A">
            <w:pPr>
              <w:jc w:val="center"/>
              <w:rPr>
                <w:rFonts w:hint="eastAsia" w:ascii="仿宋" w:hAnsi="仿宋" w:eastAsia="仿宋" w:cs="仿宋"/>
                <w:b w:val="0"/>
                <w:bCs w:val="0"/>
                <w:i w:val="0"/>
                <w:iCs w:val="0"/>
                <w:color w:val="auto"/>
                <w:sz w:val="16"/>
                <w:szCs w:val="16"/>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2E9A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折旧及摊销</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561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1489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897F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0672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33A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DC4C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DE45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B762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555E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843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9F67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71C3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0F9E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C039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A4EA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6D06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263.27</w:t>
            </w:r>
          </w:p>
        </w:tc>
      </w:tr>
      <w:tr w14:paraId="5BEE8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8D9B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w:t>
            </w:r>
          </w:p>
        </w:tc>
        <w:tc>
          <w:tcPr>
            <w:tcW w:w="788" w:type="pct"/>
            <w:tcBorders>
              <w:top w:val="single" w:color="000000" w:sz="4" w:space="0"/>
              <w:left w:val="single" w:color="000000" w:sz="4" w:space="0"/>
              <w:bottom w:val="single" w:color="000000" w:sz="4" w:space="0"/>
              <w:right w:val="nil"/>
            </w:tcBorders>
            <w:shd w:val="clear" w:color="auto" w:fill="auto"/>
            <w:vAlign w:val="center"/>
          </w:tcPr>
          <w:p w14:paraId="7DF828B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本息偿还分析</w:t>
            </w:r>
          </w:p>
        </w:tc>
        <w:tc>
          <w:tcPr>
            <w:tcW w:w="253" w:type="pct"/>
            <w:tcBorders>
              <w:top w:val="single" w:color="000000" w:sz="4" w:space="0"/>
              <w:left w:val="nil"/>
              <w:bottom w:val="single" w:color="000000" w:sz="4" w:space="0"/>
              <w:right w:val="nil"/>
            </w:tcBorders>
            <w:shd w:val="clear" w:color="auto" w:fill="auto"/>
            <w:vAlign w:val="center"/>
          </w:tcPr>
          <w:p w14:paraId="3B1EF515">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6378B564">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30CBB805">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0A868876">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656D4AAE">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023E74F0">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13C39A0A">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22EDB1E5">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52C46D2C">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11EC72C2">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27C03401">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069B58BD">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1C2D2286">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2079939D">
            <w:pPr>
              <w:jc w:val="center"/>
              <w:rPr>
                <w:rFonts w:hint="eastAsia" w:ascii="仿宋" w:hAnsi="仿宋" w:eastAsia="仿宋" w:cs="仿宋"/>
                <w:b w:val="0"/>
                <w:bCs w:val="0"/>
                <w:i w:val="0"/>
                <w:iCs w:val="0"/>
                <w:color w:val="auto"/>
                <w:sz w:val="16"/>
                <w:szCs w:val="16"/>
                <w:u w:val="none"/>
              </w:rPr>
            </w:pPr>
          </w:p>
        </w:tc>
        <w:tc>
          <w:tcPr>
            <w:tcW w:w="253" w:type="pct"/>
            <w:tcBorders>
              <w:top w:val="single" w:color="000000" w:sz="4" w:space="0"/>
              <w:left w:val="nil"/>
              <w:bottom w:val="single" w:color="000000" w:sz="4" w:space="0"/>
              <w:right w:val="nil"/>
            </w:tcBorders>
            <w:shd w:val="clear" w:color="auto" w:fill="auto"/>
            <w:vAlign w:val="center"/>
          </w:tcPr>
          <w:p w14:paraId="7F6F70C8">
            <w:pPr>
              <w:jc w:val="center"/>
              <w:rPr>
                <w:rFonts w:hint="eastAsia" w:ascii="仿宋" w:hAnsi="仿宋" w:eastAsia="仿宋" w:cs="仿宋"/>
                <w:b w:val="0"/>
                <w:bCs w:val="0"/>
                <w:i w:val="0"/>
                <w:iCs w:val="0"/>
                <w:color w:val="auto"/>
                <w:sz w:val="16"/>
                <w:szCs w:val="16"/>
                <w:u w:val="none"/>
              </w:rPr>
            </w:pPr>
          </w:p>
        </w:tc>
        <w:tc>
          <w:tcPr>
            <w:tcW w:w="255" w:type="pct"/>
            <w:tcBorders>
              <w:top w:val="single" w:color="000000" w:sz="4" w:space="0"/>
              <w:left w:val="nil"/>
              <w:bottom w:val="single" w:color="000000" w:sz="4" w:space="0"/>
              <w:right w:val="single" w:color="000000" w:sz="4" w:space="0"/>
            </w:tcBorders>
            <w:shd w:val="clear" w:color="auto" w:fill="auto"/>
            <w:vAlign w:val="center"/>
          </w:tcPr>
          <w:p w14:paraId="6A0F342C">
            <w:pPr>
              <w:jc w:val="center"/>
              <w:rPr>
                <w:rFonts w:hint="eastAsia" w:ascii="仿宋" w:hAnsi="仿宋" w:eastAsia="仿宋" w:cs="仿宋"/>
                <w:b w:val="0"/>
                <w:bCs w:val="0"/>
                <w:i w:val="0"/>
                <w:iCs w:val="0"/>
                <w:color w:val="auto"/>
                <w:sz w:val="16"/>
                <w:szCs w:val="16"/>
                <w:u w:val="none"/>
              </w:rPr>
            </w:pPr>
          </w:p>
        </w:tc>
      </w:tr>
      <w:tr w14:paraId="722ED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9F864">
            <w:pPr>
              <w:jc w:val="center"/>
              <w:rPr>
                <w:rFonts w:hint="eastAsia" w:ascii="仿宋" w:hAnsi="仿宋" w:eastAsia="仿宋" w:cs="仿宋"/>
                <w:i w:val="0"/>
                <w:iCs w:val="0"/>
                <w:color w:val="auto"/>
                <w:sz w:val="16"/>
                <w:szCs w:val="16"/>
                <w:u w:val="none"/>
              </w:rPr>
            </w:pP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C80A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本息覆盖倍数</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3449E">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49B8F">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19470">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1EB14">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A5727">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4A199">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F4FB9">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D5918">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95517">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D4CD2">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AC784">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EC5C5">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F649A">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37762">
            <w:pPr>
              <w:jc w:val="center"/>
              <w:rPr>
                <w:rFonts w:hint="eastAsia" w:ascii="仿宋" w:hAnsi="仿宋" w:eastAsia="仿宋" w:cs="仿宋"/>
                <w:i w:val="0"/>
                <w:iCs w:val="0"/>
                <w:color w:val="auto"/>
                <w:sz w:val="16"/>
                <w:szCs w:val="16"/>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2C520">
            <w:pPr>
              <w:jc w:val="center"/>
              <w:rPr>
                <w:rFonts w:hint="eastAsia" w:ascii="仿宋" w:hAnsi="仿宋" w:eastAsia="仿宋" w:cs="仿宋"/>
                <w:i w:val="0"/>
                <w:iCs w:val="0"/>
                <w:color w:val="auto"/>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B3F53">
            <w:pPr>
              <w:jc w:val="center"/>
              <w:rPr>
                <w:rFonts w:hint="eastAsia" w:ascii="仿宋" w:hAnsi="仿宋" w:eastAsia="仿宋" w:cs="仿宋"/>
                <w:i w:val="0"/>
                <w:iCs w:val="0"/>
                <w:color w:val="auto"/>
                <w:sz w:val="16"/>
                <w:szCs w:val="16"/>
                <w:u w:val="none"/>
              </w:rPr>
            </w:pPr>
          </w:p>
        </w:tc>
      </w:tr>
    </w:tbl>
    <w:p w14:paraId="19CA40A8">
      <w:pPr>
        <w:ind w:firstLine="0" w:firstLineChars="0"/>
        <w:rPr>
          <w:color w:val="auto"/>
        </w:rPr>
      </w:pPr>
      <w:r>
        <w:rPr>
          <w:rFonts w:hint="eastAsia"/>
          <w:color w:val="auto"/>
        </w:rPr>
        <w:br w:type="page"/>
      </w:r>
    </w:p>
    <w:p w14:paraId="1EC18899">
      <w:pPr>
        <w:pStyle w:val="29"/>
        <w:rPr>
          <w:color w:val="auto"/>
        </w:rPr>
      </w:pPr>
      <w:r>
        <w:rPr>
          <w:rFonts w:hint="eastAsia"/>
          <w:color w:val="auto"/>
          <w:lang w:val="en-US" w:eastAsia="zh-Hans"/>
        </w:rPr>
        <w:t>项目资金测算平衡表</w:t>
      </w:r>
      <w:r>
        <w:rPr>
          <w:rFonts w:hint="eastAsia"/>
          <w:color w:val="auto"/>
        </w:rPr>
        <w:t>（金额单位：人民币万元）</w:t>
      </w:r>
    </w:p>
    <w:tbl>
      <w:tblPr>
        <w:tblStyle w:val="14"/>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24"/>
        <w:gridCol w:w="2985"/>
        <w:gridCol w:w="831"/>
        <w:gridCol w:w="834"/>
        <w:gridCol w:w="728"/>
        <w:gridCol w:w="728"/>
        <w:gridCol w:w="728"/>
        <w:gridCol w:w="728"/>
        <w:gridCol w:w="728"/>
        <w:gridCol w:w="728"/>
        <w:gridCol w:w="728"/>
        <w:gridCol w:w="728"/>
        <w:gridCol w:w="728"/>
        <w:gridCol w:w="728"/>
        <w:gridCol w:w="728"/>
        <w:gridCol w:w="729"/>
        <w:gridCol w:w="729"/>
        <w:gridCol w:w="760"/>
      </w:tblGrid>
      <w:tr w14:paraId="313B7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8" w:hRule="atLeast"/>
          <w:jc w:val="center"/>
        </w:trPr>
        <w:tc>
          <w:tcPr>
            <w:tcW w:w="16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4E26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序号</w:t>
            </w:r>
          </w:p>
        </w:tc>
        <w:tc>
          <w:tcPr>
            <w:tcW w:w="9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BB68F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项目</w:t>
            </w:r>
          </w:p>
        </w:tc>
        <w:tc>
          <w:tcPr>
            <w:tcW w:w="537" w:type="pct"/>
            <w:gridSpan w:val="2"/>
            <w:tcBorders>
              <w:top w:val="single" w:color="000000" w:sz="4" w:space="0"/>
              <w:left w:val="single" w:color="000000" w:sz="4" w:space="0"/>
              <w:bottom w:val="single" w:color="000000" w:sz="4" w:space="0"/>
              <w:right w:val="nil"/>
            </w:tcBorders>
            <w:shd w:val="clear" w:color="auto" w:fill="auto"/>
            <w:noWrap/>
            <w:vAlign w:val="center"/>
          </w:tcPr>
          <w:p w14:paraId="2B02584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建设期</w:t>
            </w:r>
          </w:p>
        </w:tc>
        <w:tc>
          <w:tcPr>
            <w:tcW w:w="3300" w:type="pct"/>
            <w:gridSpan w:val="14"/>
            <w:tcBorders>
              <w:top w:val="single" w:color="000000" w:sz="4" w:space="0"/>
              <w:left w:val="single" w:color="000000" w:sz="4" w:space="0"/>
              <w:bottom w:val="single" w:color="000000" w:sz="4" w:space="0"/>
              <w:right w:val="nil"/>
            </w:tcBorders>
            <w:shd w:val="clear" w:color="auto" w:fill="auto"/>
            <w:noWrap/>
            <w:vAlign w:val="center"/>
          </w:tcPr>
          <w:p w14:paraId="27C2DD7E">
            <w:pPr>
              <w:jc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运营期（年）</w:t>
            </w:r>
          </w:p>
        </w:tc>
      </w:tr>
      <w:tr w14:paraId="76BD1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6" w:hRule="atLeast"/>
          <w:jc w:val="center"/>
        </w:trPr>
        <w:tc>
          <w:tcPr>
            <w:tcW w:w="16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3A7AB">
            <w:pPr>
              <w:jc w:val="center"/>
              <w:rPr>
                <w:rFonts w:hint="eastAsia" w:ascii="仿宋" w:hAnsi="仿宋" w:eastAsia="仿宋" w:cs="仿宋"/>
                <w:b w:val="0"/>
                <w:bCs w:val="0"/>
                <w:i w:val="0"/>
                <w:iCs w:val="0"/>
                <w:color w:val="auto"/>
                <w:sz w:val="16"/>
                <w:szCs w:val="16"/>
                <w:u w:val="none"/>
              </w:rPr>
            </w:pPr>
          </w:p>
        </w:tc>
        <w:tc>
          <w:tcPr>
            <w:tcW w:w="9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E230A">
            <w:pPr>
              <w:jc w:val="center"/>
              <w:rPr>
                <w:rFonts w:hint="eastAsia" w:ascii="仿宋" w:hAnsi="仿宋" w:eastAsia="仿宋" w:cs="仿宋"/>
                <w:b w:val="0"/>
                <w:bCs w:val="0"/>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D49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381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A891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77B4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73E0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268A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4</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F293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AC30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5157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512F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40DD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9</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794B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19AE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08EC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1505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13</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3699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14</w:t>
            </w:r>
          </w:p>
        </w:tc>
      </w:tr>
      <w:tr w14:paraId="19BF4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4378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B61F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经营活动净现金流量（1.1-1.2）</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6D7A6">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B45A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EA64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517.32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C5FD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654.07</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976F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781.61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7DC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773.78</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98AB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765.73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E913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757.32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5563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748.68</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A26F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739.76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FDC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730.61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865D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721.22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BBD1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711.56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CFB7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701.66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E24F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691.40</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85D0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680.87</w:t>
            </w:r>
          </w:p>
        </w:tc>
      </w:tr>
      <w:tr w14:paraId="38913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76D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D8A4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现金流入</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1E3F2">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D17D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0EB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1659.85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D2A3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2014.20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9FFD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9294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37B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EE2D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1E68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B37D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3C6C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739C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9DF7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1490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3718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74FE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r>
      <w:tr w14:paraId="3C5A1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A890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1.1.1</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4932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营业收入</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D6DD6">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E82D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24D3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1659.85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D159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2014.20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4E12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B1F2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5E3E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4D70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C686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C2BF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95DF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E323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C9B6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3D9F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493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B4BB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r>
      <w:tr w14:paraId="5B6D5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C156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1.1.3</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D82F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其他流入</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0216">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1BC0F">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F811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DA97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2EA7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FA3D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AB0A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B1B4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F9F6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1C67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3F20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CC11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48B7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701BF">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EEC9D">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DD1A9">
            <w:pPr>
              <w:jc w:val="center"/>
              <w:rPr>
                <w:rFonts w:hint="eastAsia" w:ascii="仿宋" w:hAnsi="仿宋" w:eastAsia="仿宋" w:cs="仿宋"/>
                <w:i w:val="0"/>
                <w:iCs w:val="0"/>
                <w:color w:val="auto"/>
                <w:sz w:val="16"/>
                <w:szCs w:val="16"/>
                <w:u w:val="none"/>
              </w:rPr>
            </w:pPr>
          </w:p>
        </w:tc>
      </w:tr>
      <w:tr w14:paraId="5B4C4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4E0D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4F56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现金流出</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20007">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A4A0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0028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1142.53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8276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1360.13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6BB5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1586.94</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CFDB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1594.77</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1CD2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1602.82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2692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1611.23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FA62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1619.87</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4EFA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1628.79</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3F18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1637.94</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3B5E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1647.33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C072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1656.99</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F7DF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1666.89</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1765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1677.15</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6336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1687.68</w:t>
            </w:r>
          </w:p>
        </w:tc>
      </w:tr>
      <w:tr w14:paraId="66DC5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969D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1.2.1</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AC6C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经营成本</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679E3">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C63E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D171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1142.53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6EF1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1322.51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6128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1502.83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4C3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1513.26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478C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1524.00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5D3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1535.21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222E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1546.73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98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1558.62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EC60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1570.82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0B46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1583.34</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5E0F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1596.23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CC04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1609.43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E277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1623.10</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767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1637.14</w:t>
            </w:r>
          </w:p>
        </w:tc>
      </w:tr>
      <w:tr w14:paraId="79DC0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AC09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1.2.2</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87E9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税金及附加</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4671E">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151D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68E8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568F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6A8E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3861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DC9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E79E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F2C7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9EFC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F7E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32D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28FD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8590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4DE5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2DE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018C9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AB6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1.2.3</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F5A4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所得税</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6D596">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CA29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61DF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96A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37.62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2E3A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84.11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B1D8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81.51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579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78.82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5B9D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76.02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73B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73.14</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7EB8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70.17</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01BC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67.12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FE8F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63.99</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41ED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60.76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E7ED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57.46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666F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54.05</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36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50.54</w:t>
            </w:r>
          </w:p>
        </w:tc>
      </w:tr>
      <w:tr w14:paraId="7C67E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C057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3217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投资活动净现金流量(2.1-2.2)</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361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-8852.65</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58E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-3162.35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D855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89C3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F068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C80E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1BAC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B69D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004C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96D5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C964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462B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F715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5309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841B4">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E21E1">
            <w:pPr>
              <w:jc w:val="center"/>
              <w:rPr>
                <w:rFonts w:hint="eastAsia" w:ascii="仿宋" w:hAnsi="仿宋" w:eastAsia="仿宋" w:cs="仿宋"/>
                <w:i w:val="0"/>
                <w:iCs w:val="0"/>
                <w:color w:val="auto"/>
                <w:sz w:val="16"/>
                <w:szCs w:val="16"/>
                <w:u w:val="none"/>
              </w:rPr>
            </w:pPr>
          </w:p>
        </w:tc>
      </w:tr>
      <w:tr w14:paraId="202E5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93FA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3843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现金流入</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1D9A3">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E558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4538D">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8A9B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2383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75D1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B1D4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526B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BF08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7D03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45A3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62FC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2C99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54E2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2739F">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23EAE">
            <w:pPr>
              <w:jc w:val="center"/>
              <w:rPr>
                <w:rFonts w:hint="eastAsia" w:ascii="仿宋" w:hAnsi="仿宋" w:eastAsia="仿宋" w:cs="仿宋"/>
                <w:i w:val="0"/>
                <w:iCs w:val="0"/>
                <w:color w:val="auto"/>
                <w:sz w:val="16"/>
                <w:szCs w:val="16"/>
                <w:u w:val="none"/>
              </w:rPr>
            </w:pPr>
          </w:p>
        </w:tc>
      </w:tr>
      <w:tr w14:paraId="42F80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816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A8D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现金流出</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BEB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8852.65</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F0FC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3162.35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9727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6864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4D13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9534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48D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80AD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3325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DDC1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617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830C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B774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96E6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B668">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72527">
            <w:pPr>
              <w:jc w:val="center"/>
              <w:rPr>
                <w:rFonts w:hint="eastAsia" w:ascii="仿宋" w:hAnsi="仿宋" w:eastAsia="仿宋" w:cs="仿宋"/>
                <w:i w:val="0"/>
                <w:iCs w:val="0"/>
                <w:color w:val="auto"/>
                <w:sz w:val="16"/>
                <w:szCs w:val="16"/>
                <w:u w:val="none"/>
              </w:rPr>
            </w:pPr>
          </w:p>
        </w:tc>
      </w:tr>
      <w:tr w14:paraId="57A33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57B7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2.2.1</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CB89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建设投资</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4CA3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8852.65</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232C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3162.35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93C2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4B99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00CAF">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D4B7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A6E4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0E0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F364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23B6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64DD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960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122D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E087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74104">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3532">
            <w:pPr>
              <w:jc w:val="center"/>
              <w:rPr>
                <w:rFonts w:hint="eastAsia" w:ascii="仿宋" w:hAnsi="仿宋" w:eastAsia="仿宋" w:cs="仿宋"/>
                <w:i w:val="0"/>
                <w:iCs w:val="0"/>
                <w:color w:val="auto"/>
                <w:sz w:val="16"/>
                <w:szCs w:val="16"/>
                <w:u w:val="none"/>
              </w:rPr>
            </w:pPr>
          </w:p>
        </w:tc>
      </w:tr>
      <w:tr w14:paraId="2C880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8EE0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2.2.2</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2512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维持运营投资</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804B0">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B298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E532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C2A9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B8C0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9E16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2791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8C45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1380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1E1C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D4F8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426D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58A4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7884D">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D5067">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89546">
            <w:pPr>
              <w:jc w:val="center"/>
              <w:rPr>
                <w:rFonts w:hint="eastAsia" w:ascii="仿宋" w:hAnsi="仿宋" w:eastAsia="仿宋" w:cs="仿宋"/>
                <w:i w:val="0"/>
                <w:iCs w:val="0"/>
                <w:color w:val="auto"/>
                <w:sz w:val="16"/>
                <w:szCs w:val="16"/>
                <w:u w:val="none"/>
              </w:rPr>
            </w:pPr>
          </w:p>
        </w:tc>
      </w:tr>
      <w:tr w14:paraId="444FD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C472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2.2.3</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3D8C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流动资金</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47DE0">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C87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A725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B9B2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8F9B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8296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1A0E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D904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70AF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3876D">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BD8BD">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364F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1018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8D94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59D63">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6C4B5">
            <w:pPr>
              <w:jc w:val="center"/>
              <w:rPr>
                <w:rFonts w:hint="eastAsia" w:ascii="仿宋" w:hAnsi="仿宋" w:eastAsia="仿宋" w:cs="仿宋"/>
                <w:i w:val="0"/>
                <w:iCs w:val="0"/>
                <w:color w:val="auto"/>
                <w:sz w:val="16"/>
                <w:szCs w:val="16"/>
                <w:u w:val="none"/>
              </w:rPr>
            </w:pPr>
          </w:p>
        </w:tc>
      </w:tr>
      <w:tr w14:paraId="01574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5029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2.2.4</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9EE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其他流出</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952DD">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E779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A514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3FEE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182CD">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FAD3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65D9F">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7A23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7DBAF">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D9D3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DD93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C6D1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D29E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D7EC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D635C">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8A6CB">
            <w:pPr>
              <w:jc w:val="center"/>
              <w:rPr>
                <w:rFonts w:hint="eastAsia" w:ascii="仿宋" w:hAnsi="仿宋" w:eastAsia="仿宋" w:cs="仿宋"/>
                <w:i w:val="0"/>
                <w:iCs w:val="0"/>
                <w:color w:val="auto"/>
                <w:sz w:val="16"/>
                <w:szCs w:val="16"/>
                <w:u w:val="none"/>
              </w:rPr>
            </w:pPr>
          </w:p>
        </w:tc>
      </w:tr>
      <w:tr w14:paraId="2B2F6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05D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98A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筹资活动净现金流量(3.1-3.2)</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1165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8852.65</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C152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3162.35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29ED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BF6A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78C2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A74E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62CE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B95E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7926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FB30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F8F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3EB8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AC0D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6FFD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6ADB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72B0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r>
      <w:tr w14:paraId="7A7B3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4405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F480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现金流入</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AA6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8852.65</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3E88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3162.35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048C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934B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0997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83FD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1B14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8EEC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EAC6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DC96D">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C5E1D">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1C35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C336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15CC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337E9">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7669A">
            <w:pPr>
              <w:jc w:val="center"/>
              <w:rPr>
                <w:rFonts w:hint="eastAsia" w:ascii="仿宋" w:hAnsi="仿宋" w:eastAsia="仿宋" w:cs="仿宋"/>
                <w:i w:val="0"/>
                <w:iCs w:val="0"/>
                <w:color w:val="auto"/>
                <w:sz w:val="16"/>
                <w:szCs w:val="16"/>
                <w:u w:val="none"/>
              </w:rPr>
            </w:pPr>
          </w:p>
        </w:tc>
      </w:tr>
      <w:tr w14:paraId="3206D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A3DA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3.1.1</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DDEC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项目资本金投入</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9960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1852.65</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C74C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662.35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331C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3754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3DF8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B5EB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8085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FA8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3D5B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68BE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683C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8C4F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7477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6713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B8D09">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A234C">
            <w:pPr>
              <w:jc w:val="center"/>
              <w:rPr>
                <w:rFonts w:hint="eastAsia" w:ascii="仿宋" w:hAnsi="仿宋" w:eastAsia="仿宋" w:cs="仿宋"/>
                <w:i w:val="0"/>
                <w:iCs w:val="0"/>
                <w:color w:val="auto"/>
                <w:sz w:val="16"/>
                <w:szCs w:val="16"/>
                <w:u w:val="none"/>
              </w:rPr>
            </w:pPr>
          </w:p>
        </w:tc>
      </w:tr>
      <w:tr w14:paraId="39220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38F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3.1.2</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DEC7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建设投资借款</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887FF">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8B10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6567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7BB7D">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0C44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30CFD">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31C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AC93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F924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F108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626E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6FD2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0297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9281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67EEA">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08652">
            <w:pPr>
              <w:jc w:val="center"/>
              <w:rPr>
                <w:rFonts w:hint="eastAsia" w:ascii="仿宋" w:hAnsi="仿宋" w:eastAsia="仿宋" w:cs="仿宋"/>
                <w:i w:val="0"/>
                <w:iCs w:val="0"/>
                <w:color w:val="auto"/>
                <w:sz w:val="16"/>
                <w:szCs w:val="16"/>
                <w:u w:val="none"/>
              </w:rPr>
            </w:pPr>
          </w:p>
        </w:tc>
      </w:tr>
      <w:tr w14:paraId="1FD75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A8B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3.1.3</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BF1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流动资金借款</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0D63F">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97F2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A61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95C6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2225F">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2AF3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3CEA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031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89BB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855A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BFD8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960D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1134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E2D1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234B6">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2B25E">
            <w:pPr>
              <w:jc w:val="center"/>
              <w:rPr>
                <w:rFonts w:hint="eastAsia" w:ascii="仿宋" w:hAnsi="仿宋" w:eastAsia="仿宋" w:cs="仿宋"/>
                <w:i w:val="0"/>
                <w:iCs w:val="0"/>
                <w:color w:val="auto"/>
                <w:sz w:val="16"/>
                <w:szCs w:val="16"/>
                <w:u w:val="none"/>
              </w:rPr>
            </w:pPr>
          </w:p>
        </w:tc>
      </w:tr>
      <w:tr w14:paraId="43436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EBC8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3.1.4</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DEA4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债券资金流入</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09E0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7000.00</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E2F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E6BE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169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1F5F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DBD1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EDF5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E8DB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237B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710B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47C4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F947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B8ED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3A73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8B69E">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8E819">
            <w:pPr>
              <w:jc w:val="center"/>
              <w:rPr>
                <w:rFonts w:hint="eastAsia" w:ascii="仿宋" w:hAnsi="仿宋" w:eastAsia="仿宋" w:cs="仿宋"/>
                <w:i w:val="0"/>
                <w:iCs w:val="0"/>
                <w:color w:val="auto"/>
                <w:sz w:val="16"/>
                <w:szCs w:val="16"/>
                <w:u w:val="none"/>
              </w:rPr>
            </w:pPr>
          </w:p>
        </w:tc>
      </w:tr>
      <w:tr w14:paraId="67F38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574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3.1.5</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65F1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市场化融资流入</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8F71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CB8B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C0EC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8709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D4D5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3633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46AA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D49C7">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729A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7756D">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4E9D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A5F9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C475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282CF">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0C13C">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7C3C5">
            <w:pPr>
              <w:jc w:val="center"/>
              <w:rPr>
                <w:rFonts w:hint="eastAsia" w:ascii="仿宋" w:hAnsi="仿宋" w:eastAsia="仿宋" w:cs="仿宋"/>
                <w:i w:val="0"/>
                <w:iCs w:val="0"/>
                <w:color w:val="auto"/>
                <w:sz w:val="16"/>
                <w:szCs w:val="16"/>
                <w:u w:val="none"/>
              </w:rPr>
            </w:pPr>
          </w:p>
        </w:tc>
      </w:tr>
      <w:tr w14:paraId="51000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382E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3.1.6</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B01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其他流入</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18CE8">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CA1D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ACCC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B0CD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D9B0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9CB7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6A36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F1B0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094E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AC31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B35C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1F13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1C209">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73D3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56E07">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4DB52">
            <w:pPr>
              <w:jc w:val="center"/>
              <w:rPr>
                <w:rFonts w:hint="eastAsia" w:ascii="仿宋" w:hAnsi="仿宋" w:eastAsia="仿宋" w:cs="仿宋"/>
                <w:i w:val="0"/>
                <w:iCs w:val="0"/>
                <w:color w:val="auto"/>
                <w:sz w:val="16"/>
                <w:szCs w:val="16"/>
                <w:u w:val="none"/>
              </w:rPr>
            </w:pPr>
          </w:p>
        </w:tc>
      </w:tr>
      <w:tr w14:paraId="00CD6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9D5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F849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现金流出</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C7F3C">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9274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A0B6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EF87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7A9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361A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84F5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7663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02B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417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B191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C484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CDEA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2A0D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4C6A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50B8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r>
      <w:tr w14:paraId="75DA1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A317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3.2.1</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752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各种利息支出</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A209E">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A3E8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1E53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D2EA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7579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FC13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7006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6594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46E5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C3A6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6AF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FC4C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F398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1D3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FE7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FBE5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r>
      <w:tr w14:paraId="17B19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F73D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3.2.2</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5507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偿还债券本金流出</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FE702">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1B63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8303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789B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1D5A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4E44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F2B7A">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B7EF0">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CEB9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3489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5192">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2715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A3A8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C213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46217">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9DB2C">
            <w:pPr>
              <w:jc w:val="center"/>
              <w:rPr>
                <w:rFonts w:hint="eastAsia" w:ascii="仿宋" w:hAnsi="仿宋" w:eastAsia="仿宋" w:cs="仿宋"/>
                <w:i w:val="0"/>
                <w:iCs w:val="0"/>
                <w:color w:val="auto"/>
                <w:sz w:val="16"/>
                <w:szCs w:val="16"/>
                <w:u w:val="none"/>
              </w:rPr>
            </w:pPr>
          </w:p>
        </w:tc>
      </w:tr>
      <w:tr w14:paraId="72B45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A9A5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3.2.3</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E73D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偿还市场化融资本金流出</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BC206">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350A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6441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D2C2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A24E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1AF4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68E0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721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6DB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ED7E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2170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E46A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2BD1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A314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0AF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B37E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2C43E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AA4E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3.2.4</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82E4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其他流出</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94058">
            <w:pPr>
              <w:jc w:val="center"/>
              <w:rPr>
                <w:rFonts w:hint="eastAsia" w:ascii="仿宋" w:hAnsi="仿宋" w:eastAsia="仿宋" w:cs="仿宋"/>
                <w:i w:val="0"/>
                <w:iCs w:val="0"/>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2E12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69DD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991AC">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78045">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0786B">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63DC4">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3B971">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F4A7D">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FAEB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31273">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40546">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8FFB8">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C07DE">
            <w:pPr>
              <w:jc w:val="center"/>
              <w:rPr>
                <w:rFonts w:hint="eastAsia" w:ascii="仿宋" w:hAnsi="仿宋" w:eastAsia="仿宋" w:cs="仿宋"/>
                <w:i w:val="0"/>
                <w:iCs w:val="0"/>
                <w:color w:val="auto"/>
                <w:sz w:val="16"/>
                <w:szCs w:val="16"/>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B2B7B">
            <w:pPr>
              <w:jc w:val="center"/>
              <w:rPr>
                <w:rFonts w:hint="eastAsia" w:ascii="仿宋" w:hAnsi="仿宋" w:eastAsia="仿宋" w:cs="仿宋"/>
                <w:i w:val="0"/>
                <w:iCs w:val="0"/>
                <w:color w:val="auto"/>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1F7E">
            <w:pPr>
              <w:jc w:val="center"/>
              <w:rPr>
                <w:rFonts w:hint="eastAsia" w:ascii="仿宋" w:hAnsi="仿宋" w:eastAsia="仿宋" w:cs="仿宋"/>
                <w:i w:val="0"/>
                <w:iCs w:val="0"/>
                <w:color w:val="auto"/>
                <w:sz w:val="16"/>
                <w:szCs w:val="16"/>
                <w:u w:val="none"/>
              </w:rPr>
            </w:pPr>
          </w:p>
        </w:tc>
      </w:tr>
      <w:tr w14:paraId="3458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8E90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2C2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净现金流量（1+2+3）</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8196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24E5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E145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251.32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AEBA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388.07</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974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515.61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21D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507.78</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1157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499.73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36B4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491.32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28E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482.68</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19F1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473.76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9624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464.61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55D7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455.22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B24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445.56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7C53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435.66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844A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425.40</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5E52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414.87</w:t>
            </w:r>
          </w:p>
        </w:tc>
      </w:tr>
      <w:tr w14:paraId="5278B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3724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D22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累计盈余资金</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A1A8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3FA2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5E7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251.32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C9B9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639.39</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B927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1155.00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614D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1662.78</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C85D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2162.51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60F5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2653.83</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EF6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3136.51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644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3610.27</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B054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4074.88</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9E4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4530.10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E02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4975.66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706B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5411.32</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1FFD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5836.72</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A6F6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6251.59</w:t>
            </w:r>
          </w:p>
        </w:tc>
      </w:tr>
    </w:tbl>
    <w:p w14:paraId="232F3A12">
      <w:pPr>
        <w:pStyle w:val="18"/>
        <w:ind w:firstLine="0" w:firstLineChars="0"/>
        <w:rPr>
          <w:rFonts w:hint="eastAsia" w:eastAsia="宋体"/>
          <w:color w:val="auto"/>
          <w:lang w:val="en-US" w:eastAsia="zh-CN"/>
        </w:rPr>
      </w:pPr>
      <w:r>
        <w:rPr>
          <w:rFonts w:hint="eastAsia" w:eastAsia="宋体"/>
          <w:color w:val="auto"/>
          <w:lang w:val="en-US" w:eastAsia="zh-CN"/>
        </w:rPr>
        <w:t>续表：</w:t>
      </w:r>
    </w:p>
    <w:tbl>
      <w:tblPr>
        <w:tblStyle w:val="14"/>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05"/>
        <w:gridCol w:w="2888"/>
        <w:gridCol w:w="706"/>
        <w:gridCol w:w="706"/>
        <w:gridCol w:w="706"/>
        <w:gridCol w:w="706"/>
        <w:gridCol w:w="706"/>
        <w:gridCol w:w="706"/>
        <w:gridCol w:w="706"/>
        <w:gridCol w:w="706"/>
        <w:gridCol w:w="706"/>
        <w:gridCol w:w="706"/>
        <w:gridCol w:w="805"/>
        <w:gridCol w:w="805"/>
        <w:gridCol w:w="805"/>
        <w:gridCol w:w="805"/>
        <w:gridCol w:w="829"/>
        <w:gridCol w:w="903"/>
      </w:tblGrid>
      <w:tr w14:paraId="082FA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42" w:hRule="atLeast"/>
          <w:jc w:val="center"/>
        </w:trPr>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F557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序号</w:t>
            </w:r>
          </w:p>
        </w:tc>
        <w:tc>
          <w:tcPr>
            <w:tcW w:w="9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38478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项目</w:t>
            </w:r>
          </w:p>
        </w:tc>
        <w:tc>
          <w:tcPr>
            <w:tcW w:w="3603" w:type="pct"/>
            <w:gridSpan w:val="15"/>
            <w:tcBorders>
              <w:top w:val="single" w:color="000000" w:sz="4" w:space="0"/>
              <w:left w:val="nil"/>
              <w:bottom w:val="single" w:color="000000" w:sz="4" w:space="0"/>
              <w:right w:val="single" w:color="000000" w:sz="4" w:space="0"/>
            </w:tcBorders>
            <w:shd w:val="clear" w:color="auto" w:fill="auto"/>
            <w:noWrap/>
            <w:vAlign w:val="center"/>
          </w:tcPr>
          <w:p w14:paraId="2C3A8111">
            <w:pPr>
              <w:jc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运营期（年）</w:t>
            </w:r>
          </w:p>
        </w:tc>
        <w:tc>
          <w:tcPr>
            <w:tcW w:w="29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65A8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合计</w:t>
            </w:r>
          </w:p>
        </w:tc>
      </w:tr>
      <w:tr w14:paraId="362A3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6"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881FF">
            <w:pPr>
              <w:jc w:val="center"/>
              <w:rPr>
                <w:rFonts w:hint="eastAsia" w:ascii="仿宋" w:hAnsi="仿宋" w:eastAsia="仿宋" w:cs="仿宋"/>
                <w:b w:val="0"/>
                <w:bCs w:val="0"/>
                <w:i w:val="0"/>
                <w:iCs w:val="0"/>
                <w:color w:val="auto"/>
                <w:sz w:val="16"/>
                <w:szCs w:val="16"/>
                <w:u w:val="none"/>
              </w:rPr>
            </w:pPr>
          </w:p>
        </w:tc>
        <w:tc>
          <w:tcPr>
            <w:tcW w:w="9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D196F">
            <w:pPr>
              <w:jc w:val="center"/>
              <w:rPr>
                <w:rFonts w:hint="eastAsia" w:ascii="仿宋" w:hAnsi="仿宋" w:eastAsia="仿宋" w:cs="仿宋"/>
                <w:b w:val="0"/>
                <w:bCs w:val="0"/>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04B1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3BE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5A22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17</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61E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18</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FEA7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19</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86B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092A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8753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B9DA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A200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24</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21C3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7C2A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26</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3D3A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27</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D53D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A0A6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29</w:t>
            </w:r>
          </w:p>
        </w:tc>
        <w:tc>
          <w:tcPr>
            <w:tcW w:w="29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60AAF">
            <w:pPr>
              <w:jc w:val="center"/>
              <w:rPr>
                <w:rFonts w:hint="eastAsia" w:ascii="仿宋" w:hAnsi="仿宋" w:eastAsia="仿宋" w:cs="仿宋"/>
                <w:b w:val="0"/>
                <w:bCs w:val="0"/>
                <w:i w:val="0"/>
                <w:iCs w:val="0"/>
                <w:color w:val="auto"/>
                <w:sz w:val="16"/>
                <w:szCs w:val="16"/>
                <w:u w:val="none"/>
              </w:rPr>
            </w:pPr>
          </w:p>
        </w:tc>
      </w:tr>
      <w:tr w14:paraId="2F8EF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AFE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9848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经营活动净现金流量（1.1-1.2）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8A8D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669.99</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6C8F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658.83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AEE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647.32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9A04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635.45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D1E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623.20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4B93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610.55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9995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597.54</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CFFE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584.18</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5EA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570.32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31A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556.10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438B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541.48</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8DCF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525.44</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0DEF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504.80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627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483.38</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B383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447.94</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14C9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18632.11</w:t>
            </w:r>
          </w:p>
        </w:tc>
      </w:tr>
      <w:tr w14:paraId="1F4CA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5C8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281D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现金流入</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C4E0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49CC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E4F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FC5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C2F9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6AA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E79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2FE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11AA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0294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B391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8B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346A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B642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04F5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8B43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67624.90</w:t>
            </w:r>
          </w:p>
        </w:tc>
      </w:tr>
      <w:tr w14:paraId="0DC77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A020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1.1.1</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B0F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营业收入</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9DD5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96FB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E531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2DD9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0CAE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309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04BA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F65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7922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5D82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5735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5C93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6405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38BD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F7A2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2368.55</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58C3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67624.90</w:t>
            </w:r>
          </w:p>
        </w:tc>
      </w:tr>
      <w:tr w14:paraId="1C4C6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85B6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1.1.3</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579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其他流入</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0E2A1">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9CB71">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CC8C0">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136A">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D397E">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CB38D">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84275">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6D5D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C6F53">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08F27">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29807">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9E8D2">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01DCF">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C2E73">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AE637">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7303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2A0C5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F24D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1507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现金流出</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395C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1698.56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5191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1709.72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FC1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1721.23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35B6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1733.10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F68E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1745.35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635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1758.00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7799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1771.01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6F74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1784.37</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CC65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1798.23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E925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1812.45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AAA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1827.07</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5889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1843.11</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C95F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1863.75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ED82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1885.17</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617D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1920.61</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AAD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48992.79</w:t>
            </w:r>
          </w:p>
        </w:tc>
      </w:tr>
      <w:tr w14:paraId="76C83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42B9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1.2.1</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9D51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经营成本</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2058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1651.65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E0D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1666.53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E84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1681.88</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EA5D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1697.70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0099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1714.04</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C859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1730.91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59F2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1748.25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7094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1766.06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3C57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1784.55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1B2E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1803.51</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4AD0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1823.00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3D83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1843.11</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DC3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1863.75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80D5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1885.17</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8F91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1907.12</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04B7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47832.98</w:t>
            </w:r>
          </w:p>
        </w:tc>
      </w:tr>
      <w:tr w14:paraId="56B8D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8EF1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1.2.2</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8E3D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税金及附加</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F139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26E1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7CE3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1E95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B4B1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8000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D853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9965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5C66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63BA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795F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1399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39C6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0AA9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E26B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78FE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59B25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6691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1.2.3</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6AD5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所得税</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CC99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46.91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E142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43.19</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9FF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39.35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99DF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35.40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E084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31.31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D3F5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27.09</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A320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22.76</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4B5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18.31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649D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13.68</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3C1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8.94</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46CD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4.07</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28A8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D240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6048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A5F9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13.49</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A6CA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1159.81</w:t>
            </w:r>
          </w:p>
        </w:tc>
      </w:tr>
      <w:tr w14:paraId="31FE1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7A6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064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投资活动净现金流量(2.1-2.2)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5A8EA">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76DFD">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1082F">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E8BF2">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EEE21">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0F6E0">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E7CD7">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35751">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ED6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C28CD">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1C4A2">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599F2">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C470F">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93A22">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F18FD">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2A9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-12015.00</w:t>
            </w:r>
          </w:p>
        </w:tc>
      </w:tr>
      <w:tr w14:paraId="2C1FE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12A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1C17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现金流入</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DD23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29DC">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6837A">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C9B47">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D3BF">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CD547">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97EB8">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069A9">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6AE79">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C2C81">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14C16">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E92DB">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F7F1E">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064E9">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2DF50">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0DE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1EE7B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3914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0876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现金流出</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C9E3C">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21A4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F0EA2">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4FAF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42D8D">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CD969">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F7AF">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11E3E">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E4A48">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E8002">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8DC67">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C964C">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4BD0D">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D1FAA">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FA0F1">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6E98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12015.00</w:t>
            </w:r>
          </w:p>
        </w:tc>
      </w:tr>
      <w:tr w14:paraId="553B2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A4E1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2.2.1</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7A9C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建设投资</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5F1AD">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8A9BD">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6542A">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0980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D6B22">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6ACDB">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0BF00">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0CA2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B5FE7">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AD417">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1A083">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476BF">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C2922">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C4AA5">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D4990">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CBA5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12015.00</w:t>
            </w:r>
          </w:p>
        </w:tc>
      </w:tr>
      <w:tr w14:paraId="49DDF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6809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2.2.2</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FBF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维持运营投资</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4BCD1">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44AD8">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44280">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885F9">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D8690">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5E658">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B5C42">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67EE3">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E61FF">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4BC9">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B8E17">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9F23D">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6EFBC">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F00C9">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88064">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D54F0">
            <w:pPr>
              <w:jc w:val="center"/>
              <w:rPr>
                <w:rFonts w:hint="eastAsia" w:ascii="仿宋" w:hAnsi="仿宋" w:eastAsia="仿宋" w:cs="仿宋"/>
                <w:i w:val="0"/>
                <w:iCs w:val="0"/>
                <w:color w:val="auto"/>
                <w:sz w:val="16"/>
                <w:szCs w:val="16"/>
                <w:u w:val="none"/>
              </w:rPr>
            </w:pPr>
          </w:p>
        </w:tc>
      </w:tr>
      <w:tr w14:paraId="4E5E0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E13E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2.2.3</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12BE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流动资金</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46CF">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4A6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4D36E">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897D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535E9">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0A40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39DEE">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F04FE">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F1BFD">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AB40">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74B8E">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401F4">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8675A">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C6DCF">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816B1">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E404D">
            <w:pPr>
              <w:jc w:val="center"/>
              <w:rPr>
                <w:rFonts w:hint="eastAsia" w:ascii="仿宋" w:hAnsi="仿宋" w:eastAsia="仿宋" w:cs="仿宋"/>
                <w:i w:val="0"/>
                <w:iCs w:val="0"/>
                <w:color w:val="auto"/>
                <w:sz w:val="16"/>
                <w:szCs w:val="16"/>
                <w:u w:val="none"/>
              </w:rPr>
            </w:pPr>
          </w:p>
        </w:tc>
      </w:tr>
      <w:tr w14:paraId="05E08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B9CF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2.2.4</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0D92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其他流出</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D4FB3">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8BCC2">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99C89">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A965">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2E757">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CE0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C287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A7C8E">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8BCCA">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352EF">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D9C77">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6EF76">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40DB0">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D3EF1">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56B8D">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46FB2">
            <w:pPr>
              <w:jc w:val="center"/>
              <w:rPr>
                <w:rFonts w:hint="eastAsia" w:ascii="仿宋" w:hAnsi="仿宋" w:eastAsia="仿宋" w:cs="仿宋"/>
                <w:i w:val="0"/>
                <w:iCs w:val="0"/>
                <w:color w:val="auto"/>
                <w:sz w:val="16"/>
                <w:szCs w:val="16"/>
                <w:u w:val="none"/>
              </w:rPr>
            </w:pPr>
          </w:p>
        </w:tc>
      </w:tr>
      <w:tr w14:paraId="749BB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CBC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A63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筹资活动净现金流量(3.1-3.2)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D2D4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43E2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EE7C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176A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5D8E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18E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4A9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224D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FB01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66A1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178F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49A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833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56AA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-7266.00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54E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-2570.00</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716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-5003.00</w:t>
            </w:r>
          </w:p>
        </w:tc>
      </w:tr>
      <w:tr w14:paraId="03C15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242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56E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现金流入</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13A0F">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53B78">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5D05C">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51F15">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1C678">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1105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4A989">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2E19C">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B844E">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851F">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C72E3">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44DA7">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36DBA">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85597">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ECF4A">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E3F7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12015.00</w:t>
            </w:r>
          </w:p>
        </w:tc>
      </w:tr>
      <w:tr w14:paraId="190A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CE8B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3.1.1</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181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项目资本金投入</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85E32">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58570">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564BB">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665F3">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14D5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005DA">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7C4F1">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920BC">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A279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CE1AF">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803F1">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3CE38">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96BFC">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7B28">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59A8A">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D95B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2515.00</w:t>
            </w:r>
          </w:p>
        </w:tc>
      </w:tr>
      <w:tr w14:paraId="5B1D4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132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3.1.2</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12B3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建设投资借款</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55EC">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CBFA9">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E207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95EF7">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5EF90">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789A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B5807">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43F7C">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9983A">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41C84">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AC32B">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17E8B">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B2D5B">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EE212">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7841B">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3F82A">
            <w:pPr>
              <w:jc w:val="center"/>
              <w:rPr>
                <w:rFonts w:hint="eastAsia" w:ascii="仿宋" w:hAnsi="仿宋" w:eastAsia="仿宋" w:cs="仿宋"/>
                <w:i w:val="0"/>
                <w:iCs w:val="0"/>
                <w:color w:val="auto"/>
                <w:sz w:val="16"/>
                <w:szCs w:val="16"/>
                <w:u w:val="none"/>
              </w:rPr>
            </w:pPr>
          </w:p>
        </w:tc>
      </w:tr>
      <w:tr w14:paraId="672F0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B2A3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3.1.3</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FE8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流动资金借款</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DE4F7">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AFDC9">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ED93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B5E3C">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A7EA1">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FD52D">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4F921">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039B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086D3">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885F">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CDE31">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87395">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7DF9F">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A80C">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05241">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FDBB4">
            <w:pPr>
              <w:jc w:val="center"/>
              <w:rPr>
                <w:rFonts w:hint="eastAsia" w:ascii="仿宋" w:hAnsi="仿宋" w:eastAsia="仿宋" w:cs="仿宋"/>
                <w:i w:val="0"/>
                <w:iCs w:val="0"/>
                <w:color w:val="auto"/>
                <w:sz w:val="16"/>
                <w:szCs w:val="16"/>
                <w:u w:val="none"/>
              </w:rPr>
            </w:pPr>
          </w:p>
        </w:tc>
      </w:tr>
      <w:tr w14:paraId="2E39A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8D00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3.1.4</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4851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债券资金流入</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EB3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01757">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74731">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44E07">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BF3A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F5903">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77B43">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A6013">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367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ECF00">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13B67">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CB32A">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A133">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32DE2">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4E702">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B095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r>
      <w:tr w14:paraId="0EB71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4C26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3.1.5</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51B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市场化融资流入</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5DCF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67203">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678FC">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D274B">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4CB32">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57FF8">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3D1AA">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F85CC">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CE9F">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97375">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4FF19">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060BA">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1EA4">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1C37C">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6CF83">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FA6A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27913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3367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3.1.6</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D77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其他流入</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84A4E">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7359D">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69520">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FF751">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A018F">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477F2">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1786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B7BFB">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3AD69">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0588D">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5256F">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15AB2">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358DD">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670FB">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1767E">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9A68C">
            <w:pPr>
              <w:jc w:val="center"/>
              <w:rPr>
                <w:rFonts w:hint="eastAsia" w:ascii="仿宋" w:hAnsi="仿宋" w:eastAsia="仿宋" w:cs="仿宋"/>
                <w:i w:val="0"/>
                <w:iCs w:val="0"/>
                <w:color w:val="auto"/>
                <w:sz w:val="16"/>
                <w:szCs w:val="16"/>
                <w:u w:val="none"/>
              </w:rPr>
            </w:pPr>
          </w:p>
        </w:tc>
      </w:tr>
      <w:tr w14:paraId="18490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C524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C4CE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现金流出</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8431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3490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6719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E439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BCC9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11E8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1645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C57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32CC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6153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038B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A0A5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076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0E56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7266.00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F1E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2570.00</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FF49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17018.00</w:t>
            </w:r>
          </w:p>
        </w:tc>
      </w:tr>
      <w:tr w14:paraId="5F6E6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E720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3.2.1</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0B88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各种利息支出</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9769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B9AA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487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3EB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B282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BEDD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ED0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9C5D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E9BE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E4AE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334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C41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7BC5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9C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266.00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3C41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9A28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7518.00</w:t>
            </w:r>
          </w:p>
        </w:tc>
      </w:tr>
      <w:tr w14:paraId="75876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F179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3.2.2</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3FE4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偿还债券本金流出</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3F6B">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943DC">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EA0D3">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B14F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4E77A">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1194B">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4480">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25EF2">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82EB1">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4EAE8">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AAF74">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1AD51">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576B8">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2B67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02CE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F3CD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9500.00</w:t>
            </w:r>
          </w:p>
        </w:tc>
      </w:tr>
      <w:tr w14:paraId="40B84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7F7B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3.2.3</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8EB4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偿还市场化融资本金流出</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6A3E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3CEE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6C0E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FBB4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A2AA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509A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EBBE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CB7F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339E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7D4E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F895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458B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FBAD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ED4C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40C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B740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157F2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0A5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3.2.4</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BBB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其他流出</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CE40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4200">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B0C64">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07287">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CAA9D">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F0FE0">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04AB">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19F2E">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700F6">
            <w:pPr>
              <w:jc w:val="center"/>
              <w:rPr>
                <w:rFonts w:hint="eastAsia" w:ascii="仿宋" w:hAnsi="仿宋" w:eastAsia="仿宋" w:cs="仿宋"/>
                <w:i w:val="0"/>
                <w:iCs w:val="0"/>
                <w:color w:val="auto"/>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E445F">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960EB">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6E857">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B4FEB">
            <w:pPr>
              <w:jc w:val="center"/>
              <w:rPr>
                <w:rFonts w:hint="eastAsia" w:ascii="仿宋" w:hAnsi="仿宋" w:eastAsia="仿宋" w:cs="仿宋"/>
                <w:i w:val="0"/>
                <w:iCs w:val="0"/>
                <w:color w:val="auto"/>
                <w:sz w:val="16"/>
                <w:szCs w:val="16"/>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31E72">
            <w:pPr>
              <w:jc w:val="center"/>
              <w:rPr>
                <w:rFonts w:hint="eastAsia" w:ascii="仿宋" w:hAnsi="仿宋" w:eastAsia="仿宋" w:cs="仿宋"/>
                <w:i w:val="0"/>
                <w:iCs w:val="0"/>
                <w:color w:val="auto"/>
                <w:sz w:val="16"/>
                <w:szCs w:val="16"/>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4EDB2">
            <w:pPr>
              <w:jc w:val="center"/>
              <w:rPr>
                <w:rFonts w:hint="eastAsia" w:ascii="仿宋" w:hAnsi="仿宋" w:eastAsia="仿宋" w:cs="仿宋"/>
                <w:i w:val="0"/>
                <w:iCs w:val="0"/>
                <w:color w:val="auto"/>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2ED8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15408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E9FF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917D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净现金流量（1+2+3）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59F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403.99</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EBDB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392.83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7B1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381.32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4214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369.45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F76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357.20</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E0E8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344.55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7FA0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331.54</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5F21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318.18</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F2AC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304.32</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77B3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290.10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903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275.48</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FACC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259.44</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2E6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238.80</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5C93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-6782.62</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0F9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-2122.06</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AA8F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1614.11</w:t>
            </w:r>
          </w:p>
        </w:tc>
      </w:tr>
      <w:tr w14:paraId="2513C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 w:hRule="atLeast"/>
          <w:jc w:val="center"/>
        </w:trPr>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2EB7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w:t>
            </w:r>
          </w:p>
        </w:tc>
        <w:tc>
          <w:tcPr>
            <w:tcW w:w="9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BA32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累计盈余资金</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271C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6655.58</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8D7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7048.41</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22B0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7429.73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7B9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7799.18</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3CA0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8156.38</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E01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8500.93</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4A53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8832.47</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4CC6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9150.65</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1FAD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9454.97</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F84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9745.07</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BA80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10020.55</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D18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10279.99</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2153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10518.79</w:t>
            </w: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55DC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3736.17</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FB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1614.11</w:t>
            </w: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7C14D">
            <w:pPr>
              <w:jc w:val="center"/>
              <w:rPr>
                <w:rFonts w:hint="eastAsia" w:ascii="仿宋" w:hAnsi="仿宋" w:eastAsia="仿宋" w:cs="仿宋"/>
                <w:i w:val="0"/>
                <w:iCs w:val="0"/>
                <w:color w:val="auto"/>
                <w:sz w:val="16"/>
                <w:szCs w:val="16"/>
                <w:u w:val="none"/>
              </w:rPr>
            </w:pPr>
          </w:p>
        </w:tc>
      </w:tr>
    </w:tbl>
    <w:p w14:paraId="140C23B8">
      <w:pPr>
        <w:pStyle w:val="18"/>
        <w:ind w:firstLine="0" w:firstLineChars="0"/>
        <w:rPr>
          <w:rFonts w:hint="eastAsia" w:eastAsia="宋体"/>
          <w:color w:val="auto"/>
          <w:lang w:val="en-US" w:eastAsia="zh-CN"/>
        </w:rPr>
      </w:pPr>
    </w:p>
    <w:p w14:paraId="67FA36F6">
      <w:pPr>
        <w:pStyle w:val="18"/>
        <w:ind w:firstLine="0" w:firstLineChars="0"/>
        <w:rPr>
          <w:rFonts w:hint="eastAsia" w:eastAsia="宋体"/>
          <w:color w:val="auto"/>
          <w:lang w:val="en-US" w:eastAsia="zh-CN"/>
        </w:rPr>
        <w:sectPr>
          <w:pgSz w:w="16838" w:h="11906" w:orient="landscape"/>
          <w:pgMar w:top="720" w:right="720" w:bottom="720" w:left="720" w:header="709" w:footer="567" w:gutter="0"/>
          <w:cols w:space="425" w:num="1"/>
          <w:docGrid w:type="lines" w:linePitch="326" w:charSpace="0"/>
        </w:sectPr>
      </w:pPr>
    </w:p>
    <w:p w14:paraId="398C7F5C">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五、项目绩效目标</w:t>
      </w:r>
    </w:p>
    <w:p w14:paraId="21A56D47">
      <w:pPr>
        <w:spacing w:before="157" w:beforeLines="50" w:after="157" w:afterLines="50" w:line="360" w:lineRule="auto"/>
        <w:ind w:firstLine="643"/>
        <w:outlineLvl w:val="1"/>
        <w:rPr>
          <w:rFonts w:hint="default" w:ascii="楷体_GB2312" w:hAnsi="Calibri" w:eastAsia="楷体_GB2312"/>
          <w:b/>
          <w:color w:val="auto"/>
          <w:sz w:val="32"/>
          <w:szCs w:val="32"/>
          <w:lang w:val="en-US" w:eastAsia="zh-Hans"/>
        </w:rPr>
      </w:pPr>
      <w:r>
        <w:rPr>
          <w:rFonts w:hint="eastAsia" w:ascii="楷体_GB2312" w:hAnsi="Calibri" w:eastAsia="楷体_GB2312"/>
          <w:b/>
          <w:color w:val="auto"/>
          <w:sz w:val="32"/>
          <w:szCs w:val="32"/>
        </w:rPr>
        <w:t>（一）</w:t>
      </w:r>
      <w:r>
        <w:rPr>
          <w:rFonts w:hint="eastAsia" w:ascii="楷体_GB2312" w:hAnsi="Calibri" w:eastAsia="楷体_GB2312"/>
          <w:b/>
          <w:color w:val="auto"/>
          <w:sz w:val="32"/>
          <w:szCs w:val="32"/>
          <w:lang w:val="en-US" w:eastAsia="zh-Hans"/>
        </w:rPr>
        <w:t>产出目标</w:t>
      </w:r>
    </w:p>
    <w:p w14:paraId="1430C504">
      <w:pPr>
        <w:pageBreakBefore w:val="0"/>
        <w:kinsoku/>
        <w:wordWrap/>
        <w:overflowPunct/>
        <w:topLinePunct w:val="0"/>
        <w:autoSpaceDE/>
        <w:autoSpaceDN/>
        <w:bidi w:val="0"/>
        <w:adjustRightInd w:val="0"/>
        <w:snapToGrid w:val="0"/>
        <w:spacing w:line="360" w:lineRule="auto"/>
        <w:ind w:firstLine="480" w:firstLineChars="200"/>
        <w:rPr>
          <w:rFonts w:hint="eastAsia"/>
          <w:bCs/>
          <w:color w:val="auto"/>
          <w:lang w:val="en-US" w:eastAsia="zh-CN"/>
        </w:rPr>
      </w:pPr>
      <w:r>
        <w:rPr>
          <w:rFonts w:hint="eastAsia"/>
          <w:bCs/>
          <w:color w:val="auto"/>
          <w:lang w:val="en-US" w:eastAsia="zh-CN"/>
        </w:rPr>
        <w:t>数量目标：</w:t>
      </w:r>
      <w:r>
        <w:rPr>
          <w:rFonts w:hint="eastAsia"/>
          <w:bCs/>
          <w:color w:val="auto"/>
          <w:lang w:val="en-US" w:eastAsia="zh-Hans"/>
        </w:rPr>
        <w:t>项目拟打造内江国家级高新区智慧园区，进行智慧化改造及数字化升级赋能，建设人工智能“万物智联”平台，建设内容包含：建设园区智慧管理平台，包含园区资产管理系统、物业管理系统、智慧交通系统等管理系统；数字化产业孵化培育平台、招商服务平台、产业发展资源共享平台、企业服务平台、专业技术培训支撑平台等公共服务平台，以及数字孪生3D可视化驾驶舱、可视化记录系统1套、可视化传感系统1套、前端感知设备1000套、10台巡更巡检机器人等,构建覆盖82000平方米专业厂房及厂房全域物联网，以及采购相关设施设备，搭建覆盖生产、研发、管理全场景的数字底座，实现“产业数据互通、设备协同联动、运营高效管控”。该项目不涉及新增算力。</w:t>
      </w:r>
    </w:p>
    <w:p w14:paraId="72EF02EC">
      <w:pPr>
        <w:pageBreakBefore w:val="0"/>
        <w:kinsoku/>
        <w:wordWrap/>
        <w:overflowPunct/>
        <w:topLinePunct w:val="0"/>
        <w:autoSpaceDE/>
        <w:autoSpaceDN/>
        <w:bidi w:val="0"/>
        <w:adjustRightInd w:val="0"/>
        <w:snapToGrid w:val="0"/>
        <w:spacing w:line="360" w:lineRule="auto"/>
        <w:ind w:firstLine="480" w:firstLineChars="200"/>
        <w:rPr>
          <w:rFonts w:hint="default"/>
          <w:bCs/>
          <w:color w:val="auto"/>
          <w:lang w:val="en-US" w:eastAsia="zh-CN"/>
        </w:rPr>
      </w:pPr>
      <w:r>
        <w:rPr>
          <w:rFonts w:hint="eastAsia"/>
          <w:bCs/>
          <w:color w:val="auto"/>
          <w:lang w:val="en-US" w:eastAsia="zh-CN"/>
        </w:rPr>
        <w:t>质量目标：符合验收标准，达到行业基准水平。</w:t>
      </w:r>
    </w:p>
    <w:p w14:paraId="20FEB03E">
      <w:pPr>
        <w:pageBreakBefore w:val="0"/>
        <w:kinsoku/>
        <w:wordWrap/>
        <w:overflowPunct/>
        <w:topLinePunct w:val="0"/>
        <w:autoSpaceDE/>
        <w:autoSpaceDN/>
        <w:bidi w:val="0"/>
        <w:adjustRightInd w:val="0"/>
        <w:snapToGrid w:val="0"/>
        <w:spacing w:line="360" w:lineRule="auto"/>
        <w:ind w:firstLine="480" w:firstLineChars="200"/>
        <w:rPr>
          <w:rFonts w:hint="default"/>
          <w:bCs/>
          <w:color w:val="auto"/>
          <w:lang w:val="en-US" w:eastAsia="zh-CN"/>
        </w:rPr>
      </w:pPr>
      <w:r>
        <w:rPr>
          <w:rFonts w:hint="eastAsia"/>
          <w:bCs/>
          <w:color w:val="auto"/>
          <w:lang w:val="en-US" w:eastAsia="zh-CN"/>
        </w:rPr>
        <w:t>时效目标：本项目建设期跨度2年，严格执行工程建设程序，合理有序的安排项目建设进度。</w:t>
      </w:r>
    </w:p>
    <w:p w14:paraId="075D204D">
      <w:pPr>
        <w:pageBreakBefore w:val="0"/>
        <w:kinsoku/>
        <w:wordWrap/>
        <w:overflowPunct/>
        <w:topLinePunct w:val="0"/>
        <w:autoSpaceDE/>
        <w:autoSpaceDN/>
        <w:bidi w:val="0"/>
        <w:adjustRightInd w:val="0"/>
        <w:snapToGrid w:val="0"/>
        <w:spacing w:line="360" w:lineRule="auto"/>
        <w:ind w:firstLine="480" w:firstLineChars="200"/>
        <w:rPr>
          <w:rFonts w:hint="default"/>
          <w:bCs/>
          <w:color w:val="auto"/>
          <w:lang w:val="en-US" w:eastAsia="zh-CN"/>
        </w:rPr>
      </w:pPr>
      <w:r>
        <w:rPr>
          <w:rFonts w:hint="eastAsia"/>
          <w:bCs/>
          <w:color w:val="auto"/>
          <w:lang w:val="en-US" w:eastAsia="zh-CN"/>
        </w:rPr>
        <w:t>成本目标：项目总投资</w:t>
      </w:r>
      <w:r>
        <w:rPr>
          <w:rFonts w:hint="eastAsia" w:ascii="仿宋_GB2312" w:cs="仿宋"/>
          <w:color w:val="auto"/>
          <w:lang w:eastAsia="zh-CN"/>
        </w:rPr>
        <w:t>12015.00</w:t>
      </w:r>
      <w:r>
        <w:rPr>
          <w:rFonts w:hint="eastAsia"/>
          <w:bCs/>
          <w:color w:val="auto"/>
          <w:lang w:val="en-US" w:eastAsia="zh-CN"/>
        </w:rPr>
        <w:t>万元。</w:t>
      </w:r>
    </w:p>
    <w:p w14:paraId="2021C635">
      <w:pPr>
        <w:pageBreakBefore w:val="0"/>
        <w:kinsoku/>
        <w:wordWrap/>
        <w:overflowPunct/>
        <w:topLinePunct w:val="0"/>
        <w:autoSpaceDE/>
        <w:autoSpaceDN/>
        <w:bidi w:val="0"/>
        <w:adjustRightInd w:val="0"/>
        <w:snapToGrid w:val="0"/>
        <w:spacing w:before="10" w:after="217" w:afterLines="50" w:line="360" w:lineRule="auto"/>
        <w:ind w:firstLine="643" w:firstLineChars="200"/>
        <w:outlineLvl w:val="1"/>
        <w:rPr>
          <w:rFonts w:hint="default" w:eastAsia="楷体_GB2312"/>
          <w:color w:val="auto"/>
          <w:kern w:val="0"/>
          <w:lang w:val="en-US" w:eastAsia="zh-CN"/>
        </w:rPr>
      </w:pPr>
      <w:r>
        <w:rPr>
          <w:rFonts w:hint="eastAsia" w:ascii="楷体_GB2312" w:eastAsia="楷体_GB2312"/>
          <w:b/>
          <w:color w:val="auto"/>
          <w:sz w:val="32"/>
          <w:szCs w:val="32"/>
        </w:rPr>
        <w:t>（</w:t>
      </w:r>
      <w:r>
        <w:rPr>
          <w:rFonts w:hint="eastAsia" w:ascii="楷体_GB2312" w:eastAsia="楷体_GB2312"/>
          <w:b/>
          <w:color w:val="auto"/>
          <w:sz w:val="32"/>
          <w:szCs w:val="32"/>
          <w:lang w:val="en-US" w:eastAsia="zh-CN"/>
        </w:rPr>
        <w:t>二</w:t>
      </w:r>
      <w:r>
        <w:rPr>
          <w:rFonts w:hint="eastAsia" w:ascii="楷体_GB2312" w:eastAsia="楷体_GB2312"/>
          <w:b/>
          <w:color w:val="auto"/>
          <w:sz w:val="32"/>
          <w:szCs w:val="32"/>
        </w:rPr>
        <w:t>）</w:t>
      </w:r>
      <w:r>
        <w:rPr>
          <w:rFonts w:hint="eastAsia" w:ascii="楷体_GB2312" w:eastAsia="楷体_GB2312"/>
          <w:b/>
          <w:color w:val="auto"/>
          <w:sz w:val="32"/>
          <w:szCs w:val="32"/>
          <w:lang w:val="en-US" w:eastAsia="zh-CN"/>
        </w:rPr>
        <w:t>效益目标</w:t>
      </w:r>
    </w:p>
    <w:p w14:paraId="614C956D">
      <w:pPr>
        <w:pageBreakBefore w:val="0"/>
        <w:kinsoku/>
        <w:wordWrap/>
        <w:overflowPunct/>
        <w:topLinePunct w:val="0"/>
        <w:autoSpaceDE/>
        <w:autoSpaceDN/>
        <w:bidi w:val="0"/>
        <w:adjustRightInd w:val="0"/>
        <w:snapToGrid w:val="0"/>
        <w:spacing w:line="360" w:lineRule="auto"/>
        <w:ind w:firstLine="480" w:firstLineChars="200"/>
        <w:rPr>
          <w:rFonts w:hint="eastAsia"/>
          <w:bCs/>
          <w:color w:val="auto"/>
          <w:highlight w:val="none"/>
        </w:rPr>
      </w:pPr>
      <w:r>
        <w:rPr>
          <w:rFonts w:hint="eastAsia"/>
          <w:color w:val="auto"/>
          <w:kern w:val="0"/>
          <w:lang w:val="en-US" w:eastAsia="zh-CN"/>
        </w:rPr>
        <w:t>经济效益目标：</w:t>
      </w:r>
      <w:r>
        <w:rPr>
          <w:rFonts w:hint="eastAsia"/>
          <w:color w:val="auto"/>
          <w:lang w:eastAsia="zh-CN"/>
        </w:rPr>
        <w:t>内江国家级高新区产业园区智慧化暨数字化升级项目</w:t>
      </w:r>
      <w:r>
        <w:rPr>
          <w:rFonts w:hint="eastAsia"/>
          <w:color w:val="auto"/>
        </w:rPr>
        <w:t>收入来源主要为项目建成后数字化产业孵化培育平台收入、产业发展资源服务收入、创新人才技术平台使用收入，待本项目全部</w:t>
      </w:r>
      <w:r>
        <w:rPr>
          <w:rFonts w:hint="eastAsia"/>
          <w:color w:val="auto"/>
          <w:lang w:eastAsia="zh-CN"/>
        </w:rPr>
        <w:t>9500.00</w:t>
      </w:r>
      <w:r>
        <w:rPr>
          <w:rFonts w:hint="eastAsia"/>
          <w:color w:val="auto"/>
        </w:rPr>
        <w:t>万元专项债到期时，在偿还到期的融资本息后，将仍有</w:t>
      </w:r>
      <w:r>
        <w:rPr>
          <w:rFonts w:hint="eastAsia"/>
          <w:color w:val="auto"/>
          <w:lang w:eastAsia="zh-CN"/>
        </w:rPr>
        <w:t>1614.11</w:t>
      </w:r>
      <w:r>
        <w:rPr>
          <w:rFonts w:hint="eastAsia"/>
          <w:color w:val="auto"/>
        </w:rPr>
        <w:t>万元的累计现金结余。项目预期</w:t>
      </w:r>
      <w:r>
        <w:rPr>
          <w:rFonts w:hint="eastAsia"/>
          <w:color w:val="auto"/>
          <w:highlight w:val="none"/>
        </w:rPr>
        <w:t>收益可用以偿还债务本息，实现资金平衡，</w:t>
      </w:r>
      <w:r>
        <w:rPr>
          <w:bCs/>
          <w:color w:val="auto"/>
          <w:kern w:val="0"/>
          <w:highlight w:val="none"/>
        </w:rPr>
        <w:t>其中：项目债券本息覆盖倍数为</w:t>
      </w:r>
      <w:r>
        <w:rPr>
          <w:rFonts w:hint="eastAsia"/>
          <w:bCs/>
          <w:color w:val="auto"/>
          <w:kern w:val="0"/>
          <w:highlight w:val="none"/>
          <w:lang w:eastAsia="zh-CN"/>
        </w:rPr>
        <w:t>1.07</w:t>
      </w:r>
      <w:r>
        <w:rPr>
          <w:bCs/>
          <w:color w:val="auto"/>
          <w:kern w:val="0"/>
          <w:highlight w:val="none"/>
        </w:rPr>
        <w:t>倍</w:t>
      </w:r>
      <w:r>
        <w:rPr>
          <w:rFonts w:hint="eastAsia"/>
          <w:bCs/>
          <w:color w:val="auto"/>
          <w:highlight w:val="none"/>
        </w:rPr>
        <w:t>。</w:t>
      </w:r>
    </w:p>
    <w:p w14:paraId="41946DD8">
      <w:pPr>
        <w:pageBreakBefore w:val="0"/>
        <w:kinsoku/>
        <w:wordWrap/>
        <w:overflowPunct/>
        <w:topLinePunct w:val="0"/>
        <w:autoSpaceDE/>
        <w:autoSpaceDN/>
        <w:bidi w:val="0"/>
        <w:adjustRightInd w:val="0"/>
        <w:snapToGrid w:val="0"/>
        <w:spacing w:line="360" w:lineRule="auto"/>
        <w:ind w:firstLine="480" w:firstLineChars="200"/>
        <w:rPr>
          <w:rFonts w:hint="eastAsia"/>
          <w:bCs/>
          <w:color w:val="auto"/>
          <w:highlight w:val="none"/>
        </w:rPr>
      </w:pPr>
      <w:r>
        <w:rPr>
          <w:rFonts w:hint="eastAsia"/>
          <w:bCs/>
          <w:color w:val="auto"/>
          <w:highlight w:val="none"/>
          <w:lang w:val="en-US" w:eastAsia="zh-CN"/>
        </w:rPr>
        <w:t>社会效益目标：</w:t>
      </w:r>
      <w:r>
        <w:rPr>
          <w:rFonts w:hint="eastAsia"/>
          <w:bCs/>
          <w:color w:val="auto"/>
          <w:highlight w:val="none"/>
        </w:rPr>
        <w:t>通过智慧能源管理系统，对水、电、气等能耗进行实时监测和优化，显著降低园区单位产值的能耗和碳排放，助力国家“双碳”战略”目标的实现。智慧化监控可以提高废弃物、水资源的循环利用效率，打造绿色、循环、可持续的生态工业园区。</w:t>
      </w:r>
    </w:p>
    <w:p w14:paraId="350CD7C2">
      <w:pPr>
        <w:pageBreakBefore w:val="0"/>
        <w:kinsoku/>
        <w:wordWrap/>
        <w:overflowPunct/>
        <w:topLinePunct w:val="0"/>
        <w:autoSpaceDE/>
        <w:autoSpaceDN/>
        <w:bidi w:val="0"/>
        <w:adjustRightInd w:val="0"/>
        <w:snapToGrid w:val="0"/>
        <w:spacing w:line="360" w:lineRule="auto"/>
        <w:ind w:firstLine="480" w:firstLineChars="200"/>
        <w:rPr>
          <w:rFonts w:hint="eastAsia" w:eastAsia="仿宋"/>
          <w:color w:val="auto"/>
          <w:lang w:eastAsia="zh-CN"/>
        </w:rPr>
      </w:pPr>
      <w:r>
        <w:rPr>
          <w:rFonts w:hint="eastAsia"/>
          <w:bCs/>
          <w:color w:val="auto"/>
          <w:highlight w:val="none"/>
          <w:lang w:val="en-US" w:eastAsia="zh-CN"/>
        </w:rPr>
        <w:t>可持续影响目标：</w:t>
      </w:r>
      <w:r>
        <w:rPr>
          <w:rFonts w:hint="eastAsia"/>
          <w:color w:val="auto"/>
          <w:highlight w:val="none"/>
        </w:rPr>
        <w:t>仅为产业园区的生态环境保护注入强劲动力，也为打造资源节约型、环境友好型的现代化产业园区提供了可复制的实践样本。</w:t>
      </w:r>
    </w:p>
    <w:p w14:paraId="0048E727">
      <w:pPr>
        <w:spacing w:before="10" w:after="217" w:afterLines="50" w:line="360" w:lineRule="auto"/>
        <w:ind w:firstLine="643" w:firstLineChars="200"/>
        <w:outlineLvl w:val="1"/>
        <w:rPr>
          <w:rFonts w:hint="eastAsia"/>
          <w:color w:val="auto"/>
          <w:lang w:val="en-US" w:eastAsia="zh-CN"/>
        </w:rPr>
      </w:pPr>
      <w:r>
        <w:rPr>
          <w:rFonts w:hint="eastAsia" w:ascii="楷体_GB2312" w:eastAsia="楷体_GB2312"/>
          <w:b/>
          <w:color w:val="auto"/>
          <w:sz w:val="32"/>
          <w:szCs w:val="32"/>
        </w:rPr>
        <w:t>（</w:t>
      </w:r>
      <w:r>
        <w:rPr>
          <w:rFonts w:hint="eastAsia" w:ascii="楷体_GB2312" w:eastAsia="楷体_GB2312"/>
          <w:b/>
          <w:color w:val="auto"/>
          <w:sz w:val="32"/>
          <w:szCs w:val="32"/>
          <w:lang w:val="en-US" w:eastAsia="zh-Hans"/>
        </w:rPr>
        <w:t>三</w:t>
      </w:r>
      <w:r>
        <w:rPr>
          <w:rFonts w:hint="eastAsia" w:ascii="楷体_GB2312" w:eastAsia="楷体_GB2312"/>
          <w:b/>
          <w:color w:val="auto"/>
          <w:sz w:val="32"/>
          <w:szCs w:val="32"/>
        </w:rPr>
        <w:t>）</w:t>
      </w:r>
      <w:r>
        <w:rPr>
          <w:rFonts w:hint="eastAsia" w:ascii="楷体_GB2312" w:eastAsia="楷体_GB2312"/>
          <w:b/>
          <w:color w:val="auto"/>
          <w:sz w:val="32"/>
          <w:szCs w:val="32"/>
          <w:lang w:val="en-US" w:eastAsia="zh-Hans"/>
        </w:rPr>
        <w:t>满意度</w:t>
      </w:r>
      <w:r>
        <w:rPr>
          <w:rFonts w:hint="eastAsia" w:ascii="楷体_GB2312" w:eastAsia="楷体_GB2312"/>
          <w:b/>
          <w:color w:val="auto"/>
          <w:sz w:val="32"/>
          <w:szCs w:val="32"/>
          <w:lang w:val="en-US" w:eastAsia="zh-CN"/>
        </w:rPr>
        <w:t>目标</w:t>
      </w:r>
    </w:p>
    <w:p w14:paraId="45BCE3D4">
      <w:pPr>
        <w:pageBreakBefore w:val="0"/>
        <w:kinsoku/>
        <w:wordWrap/>
        <w:overflowPunct/>
        <w:topLinePunct w:val="0"/>
        <w:autoSpaceDE/>
        <w:autoSpaceDN/>
        <w:bidi w:val="0"/>
        <w:adjustRightInd w:val="0"/>
        <w:snapToGrid w:val="0"/>
        <w:spacing w:after="0" w:line="360" w:lineRule="auto"/>
        <w:ind w:firstLine="480" w:firstLineChars="200"/>
        <w:rPr>
          <w:rFonts w:hint="eastAsia" w:ascii="仿宋" w:hAnsi="仿宋"/>
          <w:bCs/>
          <w:color w:val="auto"/>
          <w:lang w:val="en-US" w:eastAsia="zh-CN"/>
        </w:rPr>
      </w:pPr>
      <w:r>
        <w:rPr>
          <w:rFonts w:hint="eastAsia" w:ascii="仿宋" w:hAnsi="仿宋"/>
          <w:bCs/>
          <w:color w:val="auto"/>
          <w:lang w:val="en-US" w:eastAsia="zh-CN"/>
        </w:rPr>
        <w:t>服务对象满意度目标：通过问卷调查等手段，获取满意度达到“良好/满意/80分”及以上。</w:t>
      </w:r>
    </w:p>
    <w:p w14:paraId="5E53D8A0">
      <w:pPr>
        <w:spacing w:line="560" w:lineRule="exact"/>
        <w:ind w:firstLine="640"/>
        <w:rPr>
          <w:rFonts w:hint="eastAsia" w:ascii="黑体" w:hAnsi="黑体" w:eastAsia="黑体"/>
          <w:color w:val="auto"/>
          <w:sz w:val="32"/>
          <w:szCs w:val="32"/>
        </w:rPr>
      </w:pPr>
    </w:p>
    <w:p w14:paraId="2DFC72B5">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六、潜在影响项目的风险评估</w:t>
      </w:r>
    </w:p>
    <w:p w14:paraId="193389B4">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（一）影响项目施工进度或正常运营的风险及控制措施</w:t>
      </w:r>
    </w:p>
    <w:p w14:paraId="69B0B025">
      <w:pPr>
        <w:ind w:firstLine="480"/>
        <w:rPr>
          <w:color w:val="auto"/>
        </w:rPr>
      </w:pPr>
      <w:r>
        <w:rPr>
          <w:rFonts w:hint="eastAsia"/>
          <w:color w:val="auto"/>
        </w:rPr>
        <w:t>对于不可抗力风险、施工方的风险、设计单位的风险、供应商的风险、资金落实风险、工程事故风险等影响施工进度或正常运营的风险，项目相关机构将采取对地块所处自然环境进行充分论证；选取有相应资质、业绩良好、经验丰富的施工单位；对供应商的资质、商业信誉和财务会计制度进行严格审查；做好现场的安全管理工作等措施予以控制。</w:t>
      </w:r>
    </w:p>
    <w:p w14:paraId="5876A011">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（二）影响项目收益的风险及控制措施</w:t>
      </w:r>
    </w:p>
    <w:p w14:paraId="052BC971">
      <w:pPr>
        <w:ind w:firstLine="480"/>
        <w:rPr>
          <w:color w:val="auto"/>
        </w:rPr>
      </w:pPr>
      <w:r>
        <w:rPr>
          <w:rFonts w:hint="eastAsia"/>
          <w:color w:val="auto"/>
        </w:rPr>
        <w:t>对于经营风险、财务风险等影响项目收益的风险，项目相关机构将全面分析国家项目相关的政策、法律、制度的发展变化；设立项目资金管理专户等措施予以控制。</w:t>
      </w:r>
    </w:p>
    <w:p w14:paraId="463FD44F">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（三）影响融资平衡结果的风险及控制措施</w:t>
      </w:r>
    </w:p>
    <w:p w14:paraId="2194FDCB">
      <w:pPr>
        <w:ind w:firstLine="480"/>
        <w:rPr>
          <w:rFonts w:hint="eastAsia"/>
          <w:color w:val="auto"/>
        </w:rPr>
      </w:pPr>
      <w:r>
        <w:rPr>
          <w:rFonts w:hint="eastAsia"/>
          <w:color w:val="auto"/>
        </w:rPr>
        <w:t>对于投资测算不准确风险、利率波动风险等影响项目收益的风险，项目相关机构将采取根据稳健性原则适当计入一定比例的不可预见费；定期对估算投资进行审核验证、调整；做好现金流监测，充分利用资金、做好还款计划和还款准备等措施予以控制。</w:t>
      </w:r>
    </w:p>
    <w:p w14:paraId="67521CE8">
      <w:pPr>
        <w:pStyle w:val="13"/>
        <w:rPr>
          <w:color w:val="auto"/>
        </w:rPr>
      </w:pPr>
    </w:p>
    <w:p w14:paraId="53D24C05">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七、还款保障情况</w:t>
      </w:r>
    </w:p>
    <w:p w14:paraId="51E8AED9">
      <w:pPr>
        <w:ind w:firstLine="480"/>
        <w:rPr>
          <w:rFonts w:hint="eastAsia"/>
          <w:color w:val="auto"/>
          <w:lang w:val="zh-CN"/>
        </w:rPr>
      </w:pPr>
      <w:r>
        <w:rPr>
          <w:rFonts w:hint="eastAsia"/>
          <w:color w:val="auto"/>
          <w:lang w:val="zh-CN"/>
        </w:rPr>
        <w:t>按照《国务院办公厅关于印发地方政府性债务风险应急处置预案的通知》（国办函〔</w:t>
      </w:r>
      <w:r>
        <w:rPr>
          <w:color w:val="auto"/>
          <w:lang w:val="zh-CN"/>
        </w:rPr>
        <w:t>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w:t>
      </w:r>
      <w:r>
        <w:rPr>
          <w:rFonts w:hint="eastAsia"/>
          <w:color w:val="auto"/>
          <w:lang w:val="zh-CN"/>
        </w:rPr>
        <w:t>扣回。</w:t>
      </w:r>
    </w:p>
    <w:p w14:paraId="38362B8B">
      <w:pPr>
        <w:pStyle w:val="13"/>
        <w:rPr>
          <w:color w:val="auto"/>
          <w:lang w:val="zh-CN"/>
        </w:rPr>
      </w:pPr>
    </w:p>
    <w:p w14:paraId="17DCA1A0">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八、主管部门职责和项目单位职责</w:t>
      </w:r>
    </w:p>
    <w:p w14:paraId="138E1C11">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（一）主管部门职责</w:t>
      </w:r>
    </w:p>
    <w:p w14:paraId="17D8EC0C">
      <w:pPr>
        <w:ind w:firstLine="480"/>
        <w:rPr>
          <w:color w:val="auto"/>
        </w:rPr>
      </w:pPr>
      <w:r>
        <w:rPr>
          <w:rFonts w:hint="eastAsia"/>
          <w:color w:val="auto"/>
        </w:rPr>
        <w:t>本项目的主管部门是内江高新区经济发展局，其职责为：</w:t>
      </w:r>
    </w:p>
    <w:p w14:paraId="1DCD29A6">
      <w:pPr>
        <w:ind w:firstLine="480"/>
        <w:rPr>
          <w:color w:val="auto"/>
        </w:rPr>
      </w:pPr>
      <w:r>
        <w:rPr>
          <w:rFonts w:hint="eastAsia"/>
          <w:color w:val="auto"/>
        </w:rPr>
        <w:t>1</w:t>
      </w:r>
      <w:r>
        <w:rPr>
          <w:color w:val="auto"/>
        </w:rPr>
        <w:t>.</w:t>
      </w:r>
      <w:r>
        <w:rPr>
          <w:rFonts w:hint="eastAsia"/>
          <w:color w:val="auto"/>
        </w:rPr>
        <w:t>认真履行项目建设、运营和维护责任，确保项目如期建设、如期投入运营，早日实现持续稳定的收益。</w:t>
      </w:r>
    </w:p>
    <w:p w14:paraId="0BE55B7C">
      <w:pPr>
        <w:ind w:firstLine="480"/>
        <w:rPr>
          <w:color w:val="auto"/>
        </w:rPr>
      </w:pPr>
      <w:r>
        <w:rPr>
          <w:rFonts w:hint="eastAsia"/>
          <w:color w:val="auto"/>
        </w:rPr>
        <w:t>2</w:t>
      </w:r>
      <w:r>
        <w:rPr>
          <w:color w:val="auto"/>
        </w:rPr>
        <w:t>.</w:t>
      </w:r>
      <w:r>
        <w:rPr>
          <w:rFonts w:hint="eastAsia"/>
          <w:color w:val="auto"/>
        </w:rPr>
        <w:t>监督指导建设运营主体规范使用本专项债券资金，对发现的违法违规资金使用进行严肃处理和责任追究。</w:t>
      </w:r>
    </w:p>
    <w:p w14:paraId="20EADC73">
      <w:pPr>
        <w:ind w:firstLine="480"/>
        <w:rPr>
          <w:color w:val="auto"/>
        </w:rPr>
      </w:pPr>
      <w:r>
        <w:rPr>
          <w:rFonts w:hint="eastAsia"/>
          <w:color w:val="auto"/>
        </w:rPr>
        <w:t>3</w:t>
      </w:r>
      <w:r>
        <w:rPr>
          <w:color w:val="auto"/>
        </w:rPr>
        <w:t>.</w:t>
      </w:r>
      <w:r>
        <w:rPr>
          <w:rFonts w:hint="eastAsia"/>
          <w:color w:val="auto"/>
        </w:rPr>
        <w:t>配合做好债券对应项目形成资产的登记管理工作，做好日常统计和动态监控；确保项目资产独立性和确认资产权益归属，严禁专项债券对应资产和权益用于为融资平台公司等企业融资提供担保和抵押，不对专项债券对应项目资产进行转移和划拨注入企业。</w:t>
      </w:r>
    </w:p>
    <w:p w14:paraId="016A0A74">
      <w:pPr>
        <w:ind w:firstLine="480"/>
        <w:rPr>
          <w:color w:val="auto"/>
        </w:rPr>
      </w:pPr>
      <w:r>
        <w:rPr>
          <w:rFonts w:hint="eastAsia"/>
          <w:color w:val="auto"/>
        </w:rPr>
        <w:t>4</w:t>
      </w:r>
      <w:r>
        <w:rPr>
          <w:color w:val="auto"/>
        </w:rPr>
        <w:t>.</w:t>
      </w:r>
      <w:r>
        <w:rPr>
          <w:rFonts w:hint="eastAsia"/>
          <w:color w:val="auto"/>
        </w:rPr>
        <w:t>在门户网站等及时披露专项债券对应的项目概况、项目预期收益和融资平衡方案、专项债券规模和期限、发行计划安排、还本付息等信息。</w:t>
      </w:r>
    </w:p>
    <w:p w14:paraId="6616A7B7">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（二）项目单位职责</w:t>
      </w:r>
    </w:p>
    <w:p w14:paraId="68D7D223">
      <w:pPr>
        <w:ind w:firstLine="480"/>
        <w:rPr>
          <w:color w:val="auto"/>
        </w:rPr>
      </w:pPr>
      <w:r>
        <w:rPr>
          <w:rFonts w:hint="eastAsia"/>
          <w:color w:val="auto"/>
        </w:rPr>
        <w:t>本项目的业主单位是内江高新投资有限责任公司，其职责为：</w:t>
      </w:r>
    </w:p>
    <w:p w14:paraId="07EE88F0">
      <w:pPr>
        <w:ind w:firstLine="480"/>
        <w:rPr>
          <w:color w:val="auto"/>
        </w:rPr>
      </w:pPr>
      <w:r>
        <w:rPr>
          <w:color w:val="auto"/>
        </w:rPr>
        <w:t>1.提出专项债券项目需求申请，编制报送项目实施方案及相关资料，配合做好债券发行准备。</w:t>
      </w:r>
    </w:p>
    <w:p w14:paraId="78AC701F">
      <w:pPr>
        <w:ind w:firstLine="480"/>
        <w:rPr>
          <w:color w:val="auto"/>
        </w:rPr>
      </w:pPr>
      <w:r>
        <w:rPr>
          <w:color w:val="auto"/>
        </w:rPr>
        <w:t>2.规范使用债券资金，及时形成支出，提高资金使用效益。</w:t>
      </w:r>
    </w:p>
    <w:p w14:paraId="0450A9AD">
      <w:pPr>
        <w:ind w:firstLine="480"/>
        <w:rPr>
          <w:color w:val="auto"/>
        </w:rPr>
      </w:pPr>
      <w:r>
        <w:rPr>
          <w:color w:val="auto"/>
        </w:rPr>
        <w:t>3.定期评估项目成本、预期收益和对应资产价值等，发现风险或异常情况及时向主管部门报告。</w:t>
      </w:r>
    </w:p>
    <w:p w14:paraId="0BC9016F">
      <w:pPr>
        <w:ind w:firstLine="480"/>
        <w:rPr>
          <w:color w:val="auto"/>
        </w:rPr>
      </w:pPr>
      <w:r>
        <w:rPr>
          <w:color w:val="auto"/>
        </w:rPr>
        <w:t>4.向上级部门总结汇报项目实施情况，贯彻落实上级指示要求；研究解决项目实施中的其他重大问题。</w:t>
      </w:r>
    </w:p>
    <w:p w14:paraId="4AB7DA77">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九、补充说明</w:t>
      </w:r>
    </w:p>
    <w:bookmarkEnd w:id="2"/>
    <w:p w14:paraId="281A2104">
      <w:pPr>
        <w:ind w:firstLine="480"/>
        <w:rPr>
          <w:color w:val="auto"/>
        </w:rPr>
      </w:pPr>
      <w:r>
        <w:rPr>
          <w:rFonts w:hint="eastAsia"/>
          <w:color w:val="auto"/>
        </w:rPr>
        <w:t>根据发行计划及额度安排</w:t>
      </w:r>
      <w:r>
        <w:rPr>
          <w:color w:val="auto"/>
        </w:rPr>
        <w:t>,此项目202</w:t>
      </w:r>
      <w:r>
        <w:rPr>
          <w:rFonts w:hint="eastAsia"/>
          <w:color w:val="auto"/>
          <w:lang w:val="en-US" w:eastAsia="zh-CN"/>
        </w:rPr>
        <w:t>6</w:t>
      </w:r>
      <w:r>
        <w:rPr>
          <w:color w:val="auto"/>
        </w:rPr>
        <w:t>年拟</w:t>
      </w:r>
      <w:r>
        <w:rPr>
          <w:rFonts w:hint="eastAsia"/>
          <w:color w:val="auto"/>
          <w:lang w:eastAsia="zh-CN"/>
        </w:rPr>
        <w:t>申报发行需求</w:t>
      </w:r>
      <w:r>
        <w:rPr>
          <w:color w:val="auto"/>
          <w:woUserID w:val="1"/>
        </w:rPr>
        <w:t>7</w:t>
      </w:r>
      <w:r>
        <w:rPr>
          <w:rFonts w:hint="eastAsia"/>
          <w:color w:val="auto"/>
        </w:rPr>
        <w:t>000.00</w:t>
      </w:r>
      <w:r>
        <w:rPr>
          <w:color w:val="auto"/>
        </w:rPr>
        <w:t>万元，本次拟</w:t>
      </w:r>
      <w:r>
        <w:rPr>
          <w:rFonts w:hint="eastAsia"/>
          <w:color w:val="auto"/>
          <w:lang w:eastAsia="zh-CN"/>
        </w:rPr>
        <w:t>承接2021年四川省城乡基础设施建设专项债券（五期）-2021年四川省政府专项债券（七期）调整资金</w:t>
      </w:r>
      <w:r>
        <w:rPr>
          <w:rFonts w:hint="eastAsia"/>
          <w:color w:val="auto"/>
          <w:lang w:val="en-US" w:eastAsia="zh-CN"/>
        </w:rPr>
        <w:t>600.00</w:t>
      </w:r>
      <w:r>
        <w:rPr>
          <w:color w:val="auto"/>
        </w:rPr>
        <w:t>万元，期限</w:t>
      </w:r>
      <w:bookmarkStart w:id="3" w:name="_GoBack"/>
      <w:bookmarkEnd w:id="3"/>
      <w:r>
        <w:rPr>
          <w:rFonts w:hint="eastAsia"/>
          <w:color w:val="auto"/>
          <w:lang w:val="en-US" w:eastAsia="zh-CN"/>
        </w:rPr>
        <w:t>20</w:t>
      </w:r>
      <w:r>
        <w:rPr>
          <w:color w:val="auto"/>
        </w:rPr>
        <w:t>年。</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705261-B40B-4120-91C6-3A8808B9BC3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E1D4CF3-30B7-46EC-822A-F116211DD72B}"/>
  </w:font>
  <w:font w:name="仿宋_GB2312">
    <w:panose1 w:val="02010609030101010101"/>
    <w:charset w:val="86"/>
    <w:family w:val="modern"/>
    <w:pitch w:val="default"/>
    <w:sig w:usb0="00000001" w:usb1="080E0000" w:usb2="00000000" w:usb3="00000000" w:csb0="00040000" w:csb1="00000000"/>
    <w:embedRegular r:id="rId3" w:fontKey="{26A55D29-6C8F-4D83-B329-E044E0AC5320}"/>
  </w:font>
  <w:font w:name="仿宋">
    <w:panose1 w:val="02010609060101010101"/>
    <w:charset w:val="86"/>
    <w:family w:val="auto"/>
    <w:pitch w:val="default"/>
    <w:sig w:usb0="800002BF" w:usb1="38CF7CFA" w:usb2="00000016" w:usb3="00000000" w:csb0="00040001" w:csb1="00000000"/>
    <w:embedRegular r:id="rId4" w:fontKey="{0A945D79-F990-425C-8CD3-02348D077B4D}"/>
  </w:font>
  <w:font w:name="楷体_GB2312">
    <w:panose1 w:val="02010609030101010101"/>
    <w:charset w:val="86"/>
    <w:family w:val="modern"/>
    <w:pitch w:val="default"/>
    <w:sig w:usb0="00000001" w:usb1="080E0000" w:usb2="00000000" w:usb3="00000000" w:csb0="00040000" w:csb1="00000000"/>
    <w:embedRegular r:id="rId5" w:fontKey="{EE690AA0-7B2C-435B-A496-95C7E8BF86C6}"/>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6" w:usb3="00000000" w:csb0="6006009F" w:csb1="DFD70000"/>
  </w:font>
  <w:font w:name="方正小标宋简体">
    <w:panose1 w:val="02010601030101010101"/>
    <w:charset w:val="86"/>
    <w:family w:val="auto"/>
    <w:pitch w:val="default"/>
    <w:sig w:usb0="00000001" w:usb1="080E0000" w:usb2="00000000" w:usb3="00000000" w:csb0="00040000" w:csb1="00000000"/>
  </w:font>
  <w:font w:name="PMingLiU-ExtB">
    <w:altName w:val="Microsoft JhengHei"/>
    <w:panose1 w:val="02020500000000000000"/>
    <w:charset w:val="88"/>
    <w:family w:val="auto"/>
    <w:pitch w:val="default"/>
    <w:sig w:usb0="00000000" w:usb1="00000000" w:usb2="00000000" w:usb3="00000000" w:csb0="00100001" w:csb1="00000000"/>
  </w:font>
  <w:font w:name="Microsoft JhengHei">
    <w:panose1 w:val="020B0604030504040204"/>
    <w:charset w:val="88"/>
    <w:family w:val="auto"/>
    <w:pitch w:val="default"/>
    <w:sig w:usb0="00000087" w:usb1="28AF4000" w:usb2="00000016" w:usb3="00000000" w:csb0="00100009"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6215E">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5FD5B">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BC838">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CA5D2">
    <w:pPr>
      <w:pStyle w:val="1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B9FC8">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AEED5">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YTE5NGUwZTgzMmJhMGQxMmEzN2JjZjE5MzUzM2QifQ=="/>
  </w:docVars>
  <w:rsids>
    <w:rsidRoot w:val="00511187"/>
    <w:rsid w:val="00043975"/>
    <w:rsid w:val="000A65E8"/>
    <w:rsid w:val="000B29E5"/>
    <w:rsid w:val="000C0B8B"/>
    <w:rsid w:val="00120219"/>
    <w:rsid w:val="001206A9"/>
    <w:rsid w:val="00123FE8"/>
    <w:rsid w:val="001C7F88"/>
    <w:rsid w:val="002012C5"/>
    <w:rsid w:val="002729D2"/>
    <w:rsid w:val="00274E56"/>
    <w:rsid w:val="002A6411"/>
    <w:rsid w:val="002E3649"/>
    <w:rsid w:val="00312739"/>
    <w:rsid w:val="0031331F"/>
    <w:rsid w:val="00331FD0"/>
    <w:rsid w:val="00374629"/>
    <w:rsid w:val="00374D6A"/>
    <w:rsid w:val="003C421E"/>
    <w:rsid w:val="003C7CC3"/>
    <w:rsid w:val="003D7D79"/>
    <w:rsid w:val="00401F8C"/>
    <w:rsid w:val="004257C2"/>
    <w:rsid w:val="0049076A"/>
    <w:rsid w:val="004B190A"/>
    <w:rsid w:val="004B5CEC"/>
    <w:rsid w:val="004D1630"/>
    <w:rsid w:val="004D2345"/>
    <w:rsid w:val="00511187"/>
    <w:rsid w:val="0052526C"/>
    <w:rsid w:val="00567C25"/>
    <w:rsid w:val="00570174"/>
    <w:rsid w:val="005C58CA"/>
    <w:rsid w:val="005D2888"/>
    <w:rsid w:val="005E10DC"/>
    <w:rsid w:val="005F3057"/>
    <w:rsid w:val="00614B0B"/>
    <w:rsid w:val="00615028"/>
    <w:rsid w:val="00622204"/>
    <w:rsid w:val="006E6AA2"/>
    <w:rsid w:val="00723816"/>
    <w:rsid w:val="007676AB"/>
    <w:rsid w:val="007B6674"/>
    <w:rsid w:val="0081477F"/>
    <w:rsid w:val="00826303"/>
    <w:rsid w:val="008820AF"/>
    <w:rsid w:val="008C36B2"/>
    <w:rsid w:val="008F0FA3"/>
    <w:rsid w:val="00916B43"/>
    <w:rsid w:val="0093189A"/>
    <w:rsid w:val="00995942"/>
    <w:rsid w:val="009A6AEE"/>
    <w:rsid w:val="009B1077"/>
    <w:rsid w:val="009B3F55"/>
    <w:rsid w:val="00A804BE"/>
    <w:rsid w:val="00AB4F6E"/>
    <w:rsid w:val="00AB5163"/>
    <w:rsid w:val="00AF5F9F"/>
    <w:rsid w:val="00AF6C07"/>
    <w:rsid w:val="00B543D8"/>
    <w:rsid w:val="00B70CCC"/>
    <w:rsid w:val="00B86133"/>
    <w:rsid w:val="00BA785D"/>
    <w:rsid w:val="00BB73A5"/>
    <w:rsid w:val="00BC43D9"/>
    <w:rsid w:val="00BE1F42"/>
    <w:rsid w:val="00BE2F03"/>
    <w:rsid w:val="00C573EA"/>
    <w:rsid w:val="00C87C46"/>
    <w:rsid w:val="00CB2856"/>
    <w:rsid w:val="00CB70FF"/>
    <w:rsid w:val="00D15A74"/>
    <w:rsid w:val="00D21F92"/>
    <w:rsid w:val="00D67EAF"/>
    <w:rsid w:val="00DF0C98"/>
    <w:rsid w:val="00E03246"/>
    <w:rsid w:val="00E32881"/>
    <w:rsid w:val="00E52722"/>
    <w:rsid w:val="00E53CF2"/>
    <w:rsid w:val="00EA0719"/>
    <w:rsid w:val="00EA1B05"/>
    <w:rsid w:val="00EA3402"/>
    <w:rsid w:val="00EF6843"/>
    <w:rsid w:val="00EF7DF3"/>
    <w:rsid w:val="00F17B2C"/>
    <w:rsid w:val="00F614DA"/>
    <w:rsid w:val="00F62E2E"/>
    <w:rsid w:val="00F67CF9"/>
    <w:rsid w:val="00F85E3A"/>
    <w:rsid w:val="00F91DA4"/>
    <w:rsid w:val="00F949F3"/>
    <w:rsid w:val="00FB6832"/>
    <w:rsid w:val="00FC6E4C"/>
    <w:rsid w:val="00FD2A48"/>
    <w:rsid w:val="00FD5D0D"/>
    <w:rsid w:val="00FE67E4"/>
    <w:rsid w:val="0DB454D4"/>
    <w:rsid w:val="103565DA"/>
    <w:rsid w:val="104B4918"/>
    <w:rsid w:val="11AF5665"/>
    <w:rsid w:val="14642729"/>
    <w:rsid w:val="17625D82"/>
    <w:rsid w:val="18B967A7"/>
    <w:rsid w:val="207612CA"/>
    <w:rsid w:val="215761A7"/>
    <w:rsid w:val="29C42F93"/>
    <w:rsid w:val="2EFFD6E8"/>
    <w:rsid w:val="2FFD58B8"/>
    <w:rsid w:val="3A1B1FA5"/>
    <w:rsid w:val="3E7E3A38"/>
    <w:rsid w:val="3FFD8044"/>
    <w:rsid w:val="4D8D5082"/>
    <w:rsid w:val="51015B41"/>
    <w:rsid w:val="532F7F75"/>
    <w:rsid w:val="5C074916"/>
    <w:rsid w:val="600F439D"/>
    <w:rsid w:val="63E65214"/>
    <w:rsid w:val="68237C7D"/>
    <w:rsid w:val="6AA82530"/>
    <w:rsid w:val="6C1B518B"/>
    <w:rsid w:val="6CC764CB"/>
    <w:rsid w:val="735101D3"/>
    <w:rsid w:val="738F3CB5"/>
    <w:rsid w:val="79FF8168"/>
    <w:rsid w:val="FEFB19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Calibri"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仿宋" w:hAnsi="仿宋" w:eastAsia="仿宋" w:cs="Times New Roman"/>
      <w:color w:val="000000"/>
      <w:kern w:val="2"/>
      <w:sz w:val="24"/>
      <w:szCs w:val="24"/>
      <w:lang w:val="en-US" w:eastAsia="zh-CN" w:bidi="ar-SA"/>
    </w:rPr>
  </w:style>
  <w:style w:type="paragraph" w:styleId="2">
    <w:name w:val="heading 1"/>
    <w:basedOn w:val="1"/>
    <w:next w:val="1"/>
    <w:link w:val="26"/>
    <w:qFormat/>
    <w:uiPriority w:val="9"/>
    <w:pPr>
      <w:spacing w:before="50" w:beforeLines="50" w:after="50" w:afterLines="50"/>
      <w:ind w:left="200" w:leftChars="200" w:firstLine="0" w:firstLineChars="0"/>
      <w:outlineLvl w:val="0"/>
    </w:pPr>
    <w:rPr>
      <w:rFonts w:ascii="黑体" w:eastAsia="黑体"/>
      <w:sz w:val="32"/>
    </w:rPr>
  </w:style>
  <w:style w:type="paragraph" w:styleId="3">
    <w:name w:val="heading 2"/>
    <w:basedOn w:val="1"/>
    <w:next w:val="1"/>
    <w:link w:val="27"/>
    <w:unhideWhenUsed/>
    <w:qFormat/>
    <w:uiPriority w:val="9"/>
    <w:pPr>
      <w:spacing w:before="50" w:beforeLines="50" w:after="50" w:afterLines="50"/>
      <w:ind w:left="200" w:leftChars="200" w:firstLine="0" w:firstLineChars="0"/>
      <w:outlineLvl w:val="1"/>
    </w:pPr>
    <w:rPr>
      <w:rFonts w:ascii="楷体_GB2312" w:eastAsia="楷体"/>
      <w:b/>
      <w:sz w:val="32"/>
    </w:rPr>
  </w:style>
  <w:style w:type="paragraph" w:styleId="4">
    <w:name w:val="heading 3"/>
    <w:basedOn w:val="1"/>
    <w:next w:val="1"/>
    <w:link w:val="28"/>
    <w:unhideWhenUsed/>
    <w:qFormat/>
    <w:uiPriority w:val="9"/>
    <w:pPr>
      <w:spacing w:before="50" w:beforeLines="50" w:after="50" w:afterLines="50"/>
      <w:ind w:left="200" w:leftChars="200" w:firstLine="0" w:firstLineChars="0"/>
      <w:outlineLvl w:val="2"/>
    </w:pPr>
    <w:rPr>
      <w:b/>
      <w:sz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unhideWhenUsed/>
    <w:qFormat/>
    <w:uiPriority w:val="99"/>
    <w:pPr>
      <w:jc w:val="left"/>
    </w:pPr>
  </w:style>
  <w:style w:type="paragraph" w:styleId="6">
    <w:name w:val="Body Text"/>
    <w:basedOn w:val="1"/>
    <w:next w:val="7"/>
    <w:link w:val="19"/>
    <w:qFormat/>
    <w:uiPriority w:val="99"/>
    <w:pPr>
      <w:adjustRightInd w:val="0"/>
      <w:snapToGrid w:val="0"/>
      <w:spacing w:before="150" w:after="150" w:line="264" w:lineRule="auto"/>
      <w:ind w:firstLine="567"/>
    </w:pPr>
    <w:rPr>
      <w:rFonts w:ascii="华文楷体" w:hAnsi="华文楷体" w:eastAsia="宋体"/>
      <w:kern w:val="0"/>
      <w:szCs w:val="20"/>
      <w:lang w:val="en-GB"/>
    </w:rPr>
  </w:style>
  <w:style w:type="paragraph" w:styleId="7">
    <w:name w:val="toc 1"/>
    <w:basedOn w:val="1"/>
    <w:next w:val="1"/>
    <w:qFormat/>
    <w:uiPriority w:val="39"/>
    <w:pPr>
      <w:tabs>
        <w:tab w:val="left" w:pos="540"/>
        <w:tab w:val="right" w:leader="dot" w:pos="8296"/>
      </w:tabs>
      <w:adjustRightInd w:val="0"/>
      <w:snapToGrid w:val="0"/>
      <w:spacing w:before="120" w:after="120"/>
    </w:pPr>
    <w:rPr>
      <w:rFonts w:ascii="Calibri" w:hAnsi="Calibri" w:eastAsia="仿宋_GB2312" w:cs="Calibri"/>
      <w:b/>
      <w:bCs/>
      <w:caps/>
      <w:sz w:val="28"/>
      <w:szCs w:val="28"/>
    </w:rPr>
  </w:style>
  <w:style w:type="paragraph" w:styleId="8">
    <w:name w:val="Balloon Text"/>
    <w:basedOn w:val="1"/>
    <w:link w:val="22"/>
    <w:semiHidden/>
    <w:unhideWhenUsed/>
    <w:qFormat/>
    <w:uiPriority w:val="99"/>
    <w:rPr>
      <w:sz w:val="18"/>
      <w:szCs w:val="18"/>
    </w:rPr>
  </w:style>
  <w:style w:type="paragraph" w:styleId="9">
    <w:name w:val="footer"/>
    <w:basedOn w:val="1"/>
    <w:link w:val="24"/>
    <w:unhideWhenUsed/>
    <w:qFormat/>
    <w:uiPriority w:val="99"/>
    <w:pPr>
      <w:tabs>
        <w:tab w:val="center" w:pos="4153"/>
        <w:tab w:val="right" w:pos="8306"/>
      </w:tabs>
      <w:snapToGrid w:val="0"/>
      <w:jc w:val="left"/>
    </w:pPr>
    <w:rPr>
      <w:sz w:val="18"/>
      <w:szCs w:val="18"/>
    </w:rPr>
  </w:style>
  <w:style w:type="paragraph" w:styleId="10">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5"/>
    <w:qFormat/>
    <w:uiPriority w:val="10"/>
    <w:pPr>
      <w:spacing w:before="156" w:beforeLines="50" w:after="312" w:afterLines="100"/>
      <w:ind w:firstLine="0" w:firstLineChars="0"/>
      <w:jc w:val="center"/>
    </w:pPr>
    <w:rPr>
      <w:rFonts w:ascii="方正小标宋简体" w:hAnsi="Calibri" w:eastAsia="方正小标宋简体"/>
      <w:sz w:val="40"/>
      <w:szCs w:val="40"/>
    </w:rPr>
  </w:style>
  <w:style w:type="paragraph" w:styleId="12">
    <w:name w:val="annotation subject"/>
    <w:basedOn w:val="5"/>
    <w:next w:val="5"/>
    <w:link w:val="21"/>
    <w:semiHidden/>
    <w:unhideWhenUsed/>
    <w:qFormat/>
    <w:uiPriority w:val="99"/>
    <w:rPr>
      <w:b/>
      <w:bCs/>
    </w:rPr>
  </w:style>
  <w:style w:type="paragraph" w:styleId="13">
    <w:name w:val="Body Text First Indent"/>
    <w:basedOn w:val="6"/>
    <w:next w:val="1"/>
    <w:unhideWhenUsed/>
    <w:qFormat/>
    <w:uiPriority w:val="99"/>
    <w:pPr>
      <w:spacing w:before="0" w:after="120" w:line="240" w:lineRule="auto"/>
      <w:ind w:firstLine="420" w:firstLineChars="100"/>
    </w:pPr>
    <w:rPr>
      <w:rFonts w:ascii="Times New Roman" w:hAnsi="Times New Roman" w:eastAsia="宋体"/>
      <w:sz w:val="21"/>
      <w:szCs w:val="24"/>
      <w:lang w:val="en-US"/>
    </w:rPr>
  </w:style>
  <w:style w:type="character" w:styleId="16">
    <w:name w:val="annotation reference"/>
    <w:basedOn w:val="15"/>
    <w:semiHidden/>
    <w:unhideWhenUsed/>
    <w:qFormat/>
    <w:uiPriority w:val="99"/>
    <w:rPr>
      <w:sz w:val="21"/>
      <w:szCs w:val="21"/>
    </w:rPr>
  </w:style>
  <w:style w:type="character" w:customStyle="1" w:styleId="17">
    <w:name w:val="Body text|2_"/>
    <w:link w:val="18"/>
    <w:qFormat/>
    <w:uiPriority w:val="0"/>
    <w:rPr>
      <w:rFonts w:ascii="PMingLiU-ExtB" w:hAnsi="PMingLiU-ExtB" w:eastAsia="PMingLiU-ExtB" w:cs="PMingLiU-ExtB"/>
      <w:sz w:val="22"/>
      <w:shd w:val="clear" w:color="auto" w:fill="FFFFFF"/>
    </w:rPr>
  </w:style>
  <w:style w:type="paragraph" w:customStyle="1" w:styleId="18">
    <w:name w:val="Body text|2"/>
    <w:basedOn w:val="1"/>
    <w:link w:val="17"/>
    <w:qFormat/>
    <w:uiPriority w:val="0"/>
    <w:pPr>
      <w:shd w:val="clear" w:color="auto" w:fill="FFFFFF"/>
      <w:spacing w:after="100" w:line="220" w:lineRule="exact"/>
      <w:jc w:val="left"/>
    </w:pPr>
    <w:rPr>
      <w:rFonts w:ascii="PMingLiU-ExtB" w:hAnsi="PMingLiU-ExtB" w:eastAsia="PMingLiU-ExtB" w:cs="PMingLiU-ExtB"/>
      <w:sz w:val="22"/>
    </w:rPr>
  </w:style>
  <w:style w:type="character" w:customStyle="1" w:styleId="19">
    <w:name w:val="正文文本 字符"/>
    <w:basedOn w:val="15"/>
    <w:link w:val="6"/>
    <w:qFormat/>
    <w:uiPriority w:val="99"/>
    <w:rPr>
      <w:rFonts w:ascii="华文楷体" w:hAnsi="华文楷体" w:eastAsia="宋体" w:cs="Times New Roman"/>
      <w:kern w:val="0"/>
      <w:sz w:val="24"/>
      <w:szCs w:val="20"/>
      <w:lang w:val="en-GB"/>
    </w:rPr>
  </w:style>
  <w:style w:type="character" w:customStyle="1" w:styleId="20">
    <w:name w:val="批注文字 字符"/>
    <w:basedOn w:val="15"/>
    <w:link w:val="5"/>
    <w:qFormat/>
    <w:uiPriority w:val="99"/>
  </w:style>
  <w:style w:type="character" w:customStyle="1" w:styleId="21">
    <w:name w:val="批注主题 字符"/>
    <w:basedOn w:val="20"/>
    <w:link w:val="12"/>
    <w:semiHidden/>
    <w:qFormat/>
    <w:uiPriority w:val="99"/>
    <w:rPr>
      <w:b/>
      <w:bCs/>
    </w:rPr>
  </w:style>
  <w:style w:type="character" w:customStyle="1" w:styleId="22">
    <w:name w:val="批注框文本 字符"/>
    <w:basedOn w:val="15"/>
    <w:link w:val="8"/>
    <w:semiHidden/>
    <w:qFormat/>
    <w:uiPriority w:val="99"/>
    <w:rPr>
      <w:sz w:val="18"/>
      <w:szCs w:val="18"/>
    </w:rPr>
  </w:style>
  <w:style w:type="character" w:customStyle="1" w:styleId="23">
    <w:name w:val="页眉 字符"/>
    <w:basedOn w:val="15"/>
    <w:link w:val="10"/>
    <w:qFormat/>
    <w:uiPriority w:val="99"/>
    <w:rPr>
      <w:sz w:val="18"/>
      <w:szCs w:val="18"/>
    </w:rPr>
  </w:style>
  <w:style w:type="character" w:customStyle="1" w:styleId="24">
    <w:name w:val="页脚 字符"/>
    <w:basedOn w:val="15"/>
    <w:link w:val="9"/>
    <w:qFormat/>
    <w:uiPriority w:val="99"/>
    <w:rPr>
      <w:sz w:val="18"/>
      <w:szCs w:val="18"/>
    </w:rPr>
  </w:style>
  <w:style w:type="character" w:customStyle="1" w:styleId="25">
    <w:name w:val="标题 字符"/>
    <w:basedOn w:val="15"/>
    <w:link w:val="11"/>
    <w:qFormat/>
    <w:uiPriority w:val="10"/>
    <w:rPr>
      <w:rFonts w:ascii="方正小标宋简体" w:eastAsia="方正小标宋简体"/>
      <w:color w:val="000000"/>
      <w:kern w:val="2"/>
      <w:sz w:val="40"/>
      <w:szCs w:val="40"/>
    </w:rPr>
  </w:style>
  <w:style w:type="character" w:customStyle="1" w:styleId="26">
    <w:name w:val="标题 1 字符"/>
    <w:basedOn w:val="15"/>
    <w:link w:val="2"/>
    <w:qFormat/>
    <w:uiPriority w:val="9"/>
    <w:rPr>
      <w:rFonts w:ascii="黑体" w:hAnsi="仿宋" w:eastAsia="黑体"/>
      <w:color w:val="000000"/>
      <w:kern w:val="2"/>
      <w:sz w:val="32"/>
      <w:szCs w:val="24"/>
    </w:rPr>
  </w:style>
  <w:style w:type="character" w:customStyle="1" w:styleId="27">
    <w:name w:val="标题 2 字符"/>
    <w:basedOn w:val="15"/>
    <w:link w:val="3"/>
    <w:qFormat/>
    <w:uiPriority w:val="9"/>
    <w:rPr>
      <w:rFonts w:ascii="楷体_GB2312" w:hAnsi="仿宋" w:eastAsia="楷体"/>
      <w:b/>
      <w:color w:val="000000"/>
      <w:kern w:val="2"/>
      <w:sz w:val="32"/>
      <w:szCs w:val="24"/>
    </w:rPr>
  </w:style>
  <w:style w:type="character" w:customStyle="1" w:styleId="28">
    <w:name w:val="标题 3 字符"/>
    <w:basedOn w:val="15"/>
    <w:link w:val="4"/>
    <w:qFormat/>
    <w:uiPriority w:val="9"/>
    <w:rPr>
      <w:rFonts w:ascii="仿宋" w:hAnsi="仿宋" w:eastAsia="仿宋"/>
      <w:b/>
      <w:color w:val="000000"/>
      <w:kern w:val="2"/>
      <w:sz w:val="32"/>
      <w:szCs w:val="24"/>
    </w:rPr>
  </w:style>
  <w:style w:type="paragraph" w:customStyle="1" w:styleId="29">
    <w:name w:val="表格标题"/>
    <w:basedOn w:val="1"/>
    <w:link w:val="31"/>
    <w:qFormat/>
    <w:uiPriority w:val="0"/>
    <w:pPr>
      <w:ind w:firstLine="0" w:firstLineChars="0"/>
      <w:jc w:val="center"/>
    </w:pPr>
    <w:rPr>
      <w:b/>
      <w:sz w:val="21"/>
    </w:rPr>
  </w:style>
  <w:style w:type="paragraph" w:customStyle="1" w:styleId="30">
    <w:name w:val="表格内容"/>
    <w:basedOn w:val="1"/>
    <w:link w:val="33"/>
    <w:qFormat/>
    <w:uiPriority w:val="0"/>
    <w:pPr>
      <w:spacing w:line="240" w:lineRule="auto"/>
      <w:ind w:firstLine="0" w:firstLineChars="0"/>
      <w:jc w:val="center"/>
    </w:pPr>
    <w:rPr>
      <w:sz w:val="21"/>
      <w:szCs w:val="21"/>
    </w:rPr>
  </w:style>
  <w:style w:type="character" w:customStyle="1" w:styleId="31">
    <w:name w:val="表格标题 字符"/>
    <w:basedOn w:val="15"/>
    <w:link w:val="29"/>
    <w:qFormat/>
    <w:uiPriority w:val="0"/>
    <w:rPr>
      <w:rFonts w:ascii="仿宋" w:hAnsi="仿宋" w:eastAsia="仿宋"/>
      <w:b/>
      <w:color w:val="000000"/>
      <w:kern w:val="2"/>
      <w:sz w:val="21"/>
      <w:szCs w:val="24"/>
    </w:rPr>
  </w:style>
  <w:style w:type="paragraph" w:customStyle="1" w:styleId="32">
    <w:name w:val="表格内容2"/>
    <w:basedOn w:val="30"/>
    <w:link w:val="34"/>
    <w:qFormat/>
    <w:uiPriority w:val="0"/>
    <w:rPr>
      <w:sz w:val="16"/>
      <w:szCs w:val="16"/>
    </w:rPr>
  </w:style>
  <w:style w:type="character" w:customStyle="1" w:styleId="33">
    <w:name w:val="表格内容 字符"/>
    <w:basedOn w:val="15"/>
    <w:link w:val="30"/>
    <w:qFormat/>
    <w:uiPriority w:val="0"/>
    <w:rPr>
      <w:rFonts w:ascii="仿宋" w:hAnsi="仿宋" w:eastAsia="仿宋"/>
      <w:color w:val="000000"/>
      <w:kern w:val="2"/>
      <w:sz w:val="21"/>
      <w:szCs w:val="21"/>
    </w:rPr>
  </w:style>
  <w:style w:type="character" w:customStyle="1" w:styleId="34">
    <w:name w:val="表格内容2 字符"/>
    <w:basedOn w:val="33"/>
    <w:link w:val="32"/>
    <w:qFormat/>
    <w:uiPriority w:val="0"/>
    <w:rPr>
      <w:rFonts w:ascii="仿宋" w:hAnsi="仿宋" w:eastAsia="仿宋"/>
      <w:color w:val="000000"/>
      <w:kern w:val="2"/>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2620</Words>
  <Characters>2789</Characters>
  <Lines>104</Lines>
  <Paragraphs>29</Paragraphs>
  <TotalTime>28</TotalTime>
  <ScaleCrop>false</ScaleCrop>
  <LinksUpToDate>false</LinksUpToDate>
  <CharactersWithSpaces>2789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2021-05-26T02:34:00Z</dcterms:created>
  <dc:creator>1124053244@qq.com</dc:creator>
  <cp:lastModifiedBy>我是维尼强心脏。</cp:lastModifiedBy>
  <cp:lastPrinted>2026-05-08T08:58:31Z</cp:lastPrinted>
  <dcterms:modified xsi:type="dcterms:W3CDTF">2026-05-08T08:58:49Z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1DEB62F6131149B4AE382EE8DDC881BB_13</vt:lpwstr>
  </property>
  <property fmtid="{D5CDD505-2E9C-101B-9397-08002B2CF9AE}" pid="4" name="KSOTemplateDocerSaveRecord">
    <vt:lpwstr>eyJoZGlkIjoiMDJlN2RkMjFhYWQzMGEzZGE0YTdiZjk4NzJkNzFhNGIiLCJ1c2VySWQiOiIzMTM4MzYxNzUifQ==</vt:lpwstr>
  </property>
</Properties>
</file>